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47625</wp:posOffset>
            </wp:positionV>
            <wp:extent cx="158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9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0"/>
          <w:szCs w:val="20"/>
          <w:color w:val="auto"/>
        </w:rPr>
        <w:t>Proxy Statement Pursuant to Section 14(a) of</w:t>
      </w:r>
    </w:p>
    <w:p>
      <w:pPr>
        <w:spacing w:after="0" w:line="5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0"/>
          <w:szCs w:val="20"/>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48260</wp:posOffset>
            </wp:positionV>
            <wp:extent cx="1585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73" w:lineRule="exact"/>
        <w:rPr>
          <w:sz w:val="24"/>
          <w:szCs w:val="24"/>
          <w:color w:val="auto"/>
        </w:rPr>
      </w:pPr>
    </w:p>
    <w:p>
      <w:pPr>
        <w:sectPr>
          <w:pgSz w:w="11900" w:h="16838" w:orient="portrait"/>
          <w:cols w:equalWidth="0" w:num="2">
            <w:col w:w="2400" w:space="720"/>
            <w:col w:w="7019"/>
          </w:cols>
          <w:pgMar w:left="320" w:top="1440"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2">
            <w:col w:w="3020" w:space="100"/>
            <w:col w:w="7019"/>
          </w:cols>
          <w:pgMar w:left="320" w:top="1440" w:right="1440" w:bottom="1440" w:gutter="0" w:footer="0" w:header="0"/>
          <w:type w:val="continuous"/>
        </w:sectPr>
      </w:pP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58" w:lineRule="exact"/>
        <w:rPr>
          <w:sz w:val="24"/>
          <w:szCs w:val="24"/>
          <w:color w:val="auto"/>
        </w:rPr>
      </w:pPr>
    </w:p>
    <w:p>
      <w:pPr>
        <w:ind w:left="900" w:hanging="402"/>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Wingdings" w:cs="Wingdings" w:eastAsia="Wingdings" w:hAnsi="Wingdings"/>
          <w:sz w:val="18"/>
          <w:szCs w:val="18"/>
          <w:b w:val="1"/>
          <w:bCs w:val="1"/>
          <w:color w:val="auto"/>
        </w:rPr>
      </w:pPr>
    </w:p>
    <w:p>
      <w:pPr>
        <w:ind w:left="500" w:right="3079" w:hanging="2"/>
        <w:spacing w:after="0" w:line="315" w:lineRule="auto"/>
        <w:tabs>
          <w:tab w:leader="none" w:pos="9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900" w:hanging="402"/>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Wingdings" w:cs="Wingdings" w:eastAsia="Wingdings" w:hAnsi="Wingdings"/>
          <w:sz w:val="18"/>
          <w:szCs w:val="18"/>
          <w:b w:val="1"/>
          <w:bCs w:val="1"/>
          <w:color w:val="auto"/>
        </w:rPr>
      </w:pPr>
    </w:p>
    <w:p>
      <w:pPr>
        <w:ind w:left="900" w:hanging="402"/>
        <w:spacing w:after="0"/>
        <w:tabs>
          <w:tab w:leader="none" w:pos="9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LGI HOMES, INC.</w:t>
      </w:r>
    </w:p>
    <w:p>
      <w:pPr>
        <w:spacing w:after="0" w:line="1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5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58" w:lineRule="exact"/>
        <w:rPr>
          <w:sz w:val="24"/>
          <w:szCs w:val="24"/>
          <w:color w:val="auto"/>
        </w:rPr>
      </w:pPr>
    </w:p>
    <w:p>
      <w:pPr>
        <w:ind w:left="900" w:hanging="402"/>
        <w:spacing w:after="0"/>
        <w:tabs>
          <w:tab w:leader="none" w:pos="9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900" w:hanging="402"/>
        <w:spacing w:after="0"/>
        <w:tabs>
          <w:tab w:leader="none" w:pos="90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Wingdings" w:cs="Wingdings" w:eastAsia="Wingdings" w:hAnsi="Wingdings"/>
          <w:sz w:val="18"/>
          <w:szCs w:val="18"/>
          <w:b w:val="1"/>
          <w:bCs w:val="1"/>
          <w:color w:val="auto"/>
        </w:rPr>
      </w:pPr>
    </w:p>
    <w:p>
      <w:pPr>
        <w:ind w:left="900" w:hanging="402"/>
        <w:spacing w:after="0"/>
        <w:tabs>
          <w:tab w:leader="none" w:pos="90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1889125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941705</wp:posOffset>
            </wp:positionV>
            <wp:extent cx="7106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873125</wp:posOffset>
            </wp:positionV>
            <wp:extent cx="7106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1666240</wp:posOffset>
            </wp:positionV>
            <wp:extent cx="1285875" cy="1148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1450 Lake Robbins Drive, Suite 430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2026 ANNUAL MEETING OF STOCKHOLDERS</w:t>
      </w:r>
    </w:p>
    <w:p>
      <w:pPr>
        <w:spacing w:after="0" w:line="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to be held on:</w:t>
      </w:r>
    </w:p>
    <w:p>
      <w:pPr>
        <w:spacing w:after="0" w:line="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April 23,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3:00 p.m.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120015</wp:posOffset>
            </wp:positionV>
            <wp:extent cx="1885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2026 Annual Meeting of Stockholders, which will be held at 3:00 p.m. (Central Time) on April 23, 2026, at the Company’s headquarters at 1450 Lake Robbins Drive, The Woodlands, Texas 77380 in Suite 140.</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holding the Annual Meeting for the following purposes, which are more fully described in the accompanying proxy statement:</w:t>
      </w:r>
    </w:p>
    <w:p>
      <w:pPr>
        <w:spacing w:after="0" w:line="117"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nominees named in the accompanying proxy statement to the Company’s Board of Directors;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to approve the compensation paid to the Company’s named executive officers for 2025, as disclosed in the accompanying proxy statement; and</w:t>
      </w:r>
    </w:p>
    <w:p>
      <w:pPr>
        <w:spacing w:after="0" w:line="5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February 27, 2026 are entitled to notice and to vote at the Annual Meeting or any adjournment thereof. A list of stockholders entitled to vote at the Annual Meeting will be available for inspection at our headquarters during the 10-day period prior to the Annual Meeting. If you would like to view this stockholder list, please contact Investor Relations at (281) 362-8998.</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Each share of Company common stock that you own represents one vote, and your vote as a stockholder of LGI Homes, Inc. is very important. If you are a registered stockholder and have questions regarding your stock ownership, you may contact our transfer agent, Computershare Investor Services, by email through their website at </w:t>
      </w:r>
      <w:r>
        <w:rPr>
          <w:rFonts w:ascii="Times New Roman" w:cs="Times New Roman" w:eastAsia="Times New Roman" w:hAnsi="Times New Roman"/>
          <w:sz w:val="18"/>
          <w:szCs w:val="18"/>
          <w:u w:val="single" w:color="auto"/>
          <w:color w:val="auto"/>
        </w:rPr>
        <w:t>www.computershare.com</w:t>
      </w:r>
      <w:r>
        <w:rPr>
          <w:rFonts w:ascii="Times New Roman" w:cs="Times New Roman" w:eastAsia="Times New Roman" w:hAnsi="Times New Roman"/>
          <w:sz w:val="18"/>
          <w:szCs w:val="18"/>
          <w:color w:val="auto"/>
        </w:rPr>
        <w:t xml:space="preserve"> or by phone at (800) 962-4284 (within the U.S. and Canada) or (781) 575-3120 (outside the U.S.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has approved Proposals 1, 2, and 3 described in the accompanying proxy statement and recommends that you vote:</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for director named in Proposal 1;</w:t>
      </w:r>
    </w:p>
    <w:p>
      <w:pPr>
        <w:spacing w:after="0" w:line="117"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Ernst &amp; Young LLP as the Company’s independent registered public accounting firm for the fiscal year ending December 31, 2026 in Proposal 2; and</w:t>
      </w: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on an advisory basis, of the compensation paid to the Company’s named executive officers for 2025 in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8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0"/>
          <w:szCs w:val="20"/>
          <w:color w:val="auto"/>
        </w:rPr>
        <w:t>Scott J. Garber</w:t>
      </w:r>
    </w:p>
    <w:p>
      <w:pPr>
        <w:spacing w:after="0" w:line="5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4057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Instructions for submitting your proxy are provided in the Notice of Internet Availability of Proxy Materials, the Proxy Statement and your proxy card. It is important that your shares of Company common stock be represented and voted at the Annual Meeting. Please submit your proxy through the Internet, by telephone, or by completing the proxy card. You may revoke your proxy at any time prior to its exercise at the Annual Meeting. </w:t>
      </w:r>
      <w:r>
        <w:rPr>
          <w:rFonts w:ascii="Times New Roman" w:cs="Times New Roman" w:eastAsia="Times New Roman" w:hAnsi="Times New Roman"/>
          <w:sz w:val="18"/>
          <w:szCs w:val="18"/>
          <w:b w:val="1"/>
          <w:bCs w:val="1"/>
          <w:color w:val="auto"/>
        </w:rPr>
        <w:t>Please do not return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card if you are voting through the Internet or by telephone.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Stockholder Meeting to be Held on April 23, 2026:</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Proxy Statement and 2025 Annual Report on Form 10-K are available for review online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which can also be accessed using the link at </w:t>
      </w:r>
      <w:r>
        <w:rPr>
          <w:rFonts w:ascii="Times New Roman" w:cs="Times New Roman" w:eastAsia="Times New Roman" w:hAnsi="Times New Roman"/>
          <w:sz w:val="18"/>
          <w:szCs w:val="18"/>
          <w:u w:val="single" w:color="auto"/>
          <w:color w:val="auto"/>
        </w:rPr>
        <w:t>http://investor.lgihomes.com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194"/>
        </w:trPr>
        <w:tc>
          <w:tcPr>
            <w:tcW w:w="220" w:type="dxa"/>
            <w:vAlign w:val="bottom"/>
          </w:tcPr>
          <w:p>
            <w:pPr>
              <w:spacing w:after="0"/>
              <w:rPr>
                <w:sz w:val="16"/>
                <w:szCs w:val="16"/>
                <w:color w:val="auto"/>
              </w:rPr>
            </w:pPr>
          </w:p>
        </w:tc>
        <w:tc>
          <w:tcPr>
            <w:tcW w:w="860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NOTICE OF ANNUAL MEETING</w:t>
            </w:r>
          </w:p>
        </w:tc>
        <w:tc>
          <w:tcPr>
            <w:tcW w:w="2420" w:type="dxa"/>
            <w:vAlign w:val="bottom"/>
            <w:gridSpan w:val="5"/>
          </w:tcPr>
          <w:p>
            <w:pPr>
              <w:ind w:left="1180"/>
              <w:spacing w:after="0" w:line="194" w:lineRule="exact"/>
              <w:rPr>
                <w:sz w:val="20"/>
                <w:szCs w:val="20"/>
                <w:color w:val="auto"/>
              </w:rPr>
            </w:pPr>
            <w:r>
              <w:rPr>
                <w:rFonts w:ascii="Times New Roman" w:cs="Times New Roman" w:eastAsia="Times New Roman" w:hAnsi="Times New Roman"/>
                <w:sz w:val="18"/>
                <w:szCs w:val="18"/>
                <w:color w:val="0000FF"/>
              </w:rPr>
              <w:t>Cover Page</w:t>
            </w:r>
          </w:p>
        </w:tc>
      </w:tr>
      <w:tr>
        <w:trPr>
          <w:trHeight w:val="210"/>
        </w:trPr>
        <w:tc>
          <w:tcPr>
            <w:tcW w:w="220" w:type="dxa"/>
            <w:vAlign w:val="bottom"/>
          </w:tcPr>
          <w:p>
            <w:pPr>
              <w:spacing w:after="0"/>
              <w:rPr>
                <w:sz w:val="18"/>
                <w:szCs w:val="18"/>
                <w:color w:val="auto"/>
              </w:rPr>
            </w:pPr>
          </w:p>
        </w:tc>
        <w:tc>
          <w:tcPr>
            <w:tcW w:w="25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6020" w:type="dxa"/>
            <w:vAlign w:val="bottom"/>
            <w:gridSpan w:val="12"/>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Borders>
              <w:top w:val="single" w:sz="8" w:color="0000FF"/>
            </w:tcBorders>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1</w:t>
            </w:r>
          </w:p>
        </w:tc>
        <w:tc>
          <w:tcPr>
            <w:tcW w:w="38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PROPOSALS</w:t>
            </w:r>
          </w:p>
        </w:tc>
        <w:tc>
          <w:tcPr>
            <w:tcW w:w="660" w:type="dxa"/>
            <w:vAlign w:val="bottom"/>
            <w:gridSpan w:val="3"/>
          </w:tcPr>
          <w:p>
            <w:pPr>
              <w:spacing w:after="0"/>
              <w:rPr>
                <w:sz w:val="18"/>
                <w:szCs w:val="18"/>
                <w:color w:val="auto"/>
              </w:rPr>
            </w:pPr>
          </w:p>
        </w:tc>
        <w:tc>
          <w:tcPr>
            <w:tcW w:w="6920" w:type="dxa"/>
            <w:vAlign w:val="bottom"/>
            <w:gridSpan w:val="16"/>
          </w:tcPr>
          <w:p>
            <w:pPr>
              <w:spacing w:after="0"/>
              <w:rPr>
                <w:sz w:val="18"/>
                <w:szCs w:val="18"/>
                <w:color w:val="auto"/>
              </w:rPr>
            </w:pPr>
          </w:p>
        </w:tc>
        <w:tc>
          <w:tcPr>
            <w:tcW w:w="16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Proposal 1 - Election of Directors</w:t>
            </w:r>
          </w:p>
        </w:tc>
        <w:tc>
          <w:tcPr>
            <w:tcW w:w="6200" w:type="dxa"/>
            <w:vAlign w:val="bottom"/>
            <w:gridSpan w:val="13"/>
          </w:tcPr>
          <w:p>
            <w:pPr>
              <w:spacing w:after="0"/>
              <w:rPr>
                <w:sz w:val="18"/>
                <w:szCs w:val="18"/>
                <w:color w:val="auto"/>
              </w:rPr>
            </w:pPr>
          </w:p>
        </w:tc>
        <w:tc>
          <w:tcPr>
            <w:tcW w:w="164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2 - Ratification of Appointment of the Independent Registered Public Accounting Firm</w:t>
            </w:r>
          </w:p>
        </w:tc>
        <w:tc>
          <w:tcPr>
            <w:tcW w:w="202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0000FF"/>
                <w:w w:val="99"/>
              </w:rPr>
              <w:t>10</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Proposal 3 - Advisory Vote on the Compensation Paid to Named Executive Officers (Say-on-Pay Vote)</w:t>
            </w:r>
          </w:p>
        </w:tc>
        <w:tc>
          <w:tcPr>
            <w:tcW w:w="1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12</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4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11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14</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Corporate Governance Matters and Director Independence</w:t>
            </w:r>
          </w:p>
        </w:tc>
        <w:tc>
          <w:tcPr>
            <w:tcW w:w="4380" w:type="dxa"/>
            <w:vAlign w:val="bottom"/>
            <w:gridSpan w:val="6"/>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14</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Board Leadership Structure and Board’s Role in Risk Oversight</w:t>
            </w:r>
          </w:p>
        </w:tc>
        <w:tc>
          <w:tcPr>
            <w:tcW w:w="4000" w:type="dxa"/>
            <w:vAlign w:val="bottom"/>
            <w:gridSpan w:val="4"/>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17</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Board and Committee Meetings</w:t>
            </w:r>
          </w:p>
        </w:tc>
        <w:tc>
          <w:tcPr>
            <w:tcW w:w="2300" w:type="dxa"/>
            <w:vAlign w:val="bottom"/>
            <w:gridSpan w:val="10"/>
          </w:tcPr>
          <w:p>
            <w:pPr>
              <w:spacing w:after="0"/>
              <w:rPr>
                <w:sz w:val="18"/>
                <w:szCs w:val="18"/>
                <w:color w:val="auto"/>
              </w:rPr>
            </w:pPr>
          </w:p>
        </w:tc>
        <w:tc>
          <w:tcPr>
            <w:tcW w:w="4000" w:type="dxa"/>
            <w:vAlign w:val="bottom"/>
            <w:gridSpan w:val="4"/>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19</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Non-Employee Director Compensation</w:t>
            </w:r>
          </w:p>
        </w:tc>
        <w:tc>
          <w:tcPr>
            <w:tcW w:w="202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0000FF"/>
                <w:w w:val="99"/>
              </w:rPr>
              <w:t>21</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Stock Ownership Policy for Non-Employee Directors</w:t>
            </w:r>
          </w:p>
        </w:tc>
        <w:tc>
          <w:tcPr>
            <w:tcW w:w="4760" w:type="dxa"/>
            <w:vAlign w:val="bottom"/>
            <w:gridSpan w:val="7"/>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22</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4140" w:type="dxa"/>
            <w:vAlign w:val="bottom"/>
            <w:gridSpan w:val="5"/>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22</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8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620" w:type="dxa"/>
            <w:vAlign w:val="bottom"/>
            <w:gridSpan w:val="2"/>
          </w:tcPr>
          <w:p>
            <w:pPr>
              <w:spacing w:after="0"/>
              <w:rPr>
                <w:sz w:val="18"/>
                <w:szCs w:val="18"/>
                <w:color w:val="auto"/>
              </w:rPr>
            </w:pPr>
          </w:p>
        </w:tc>
        <w:tc>
          <w:tcPr>
            <w:tcW w:w="4140" w:type="dxa"/>
            <w:vAlign w:val="bottom"/>
            <w:gridSpan w:val="5"/>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22</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Contacting the Board</w:t>
            </w:r>
          </w:p>
        </w:tc>
        <w:tc>
          <w:tcPr>
            <w:tcW w:w="2300" w:type="dxa"/>
            <w:vAlign w:val="bottom"/>
            <w:gridSpan w:val="10"/>
          </w:tcPr>
          <w:p>
            <w:pPr>
              <w:spacing w:after="0"/>
              <w:rPr>
                <w:sz w:val="18"/>
                <w:szCs w:val="18"/>
                <w:color w:val="auto"/>
              </w:rPr>
            </w:pPr>
          </w:p>
        </w:tc>
        <w:tc>
          <w:tcPr>
            <w:tcW w:w="4760" w:type="dxa"/>
            <w:vAlign w:val="bottom"/>
            <w:gridSpan w:val="7"/>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23</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w:t>
            </w:r>
          </w:p>
        </w:tc>
        <w:tc>
          <w:tcPr>
            <w:tcW w:w="202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0000FF"/>
                <w:w w:val="99"/>
              </w:rPr>
              <w:t>24</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4"/>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Anti-Hedging and Insider Trading Policy</w:t>
            </w:r>
          </w:p>
        </w:tc>
        <w:tc>
          <w:tcPr>
            <w:tcW w:w="1980" w:type="dxa"/>
            <w:vAlign w:val="bottom"/>
            <w:gridSpan w:val="6"/>
          </w:tcPr>
          <w:p>
            <w:pPr>
              <w:spacing w:after="0"/>
              <w:rPr>
                <w:sz w:val="18"/>
                <w:szCs w:val="18"/>
                <w:color w:val="auto"/>
              </w:rPr>
            </w:pPr>
          </w:p>
        </w:tc>
        <w:tc>
          <w:tcPr>
            <w:tcW w:w="366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25</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5640" w:type="dxa"/>
            <w:vAlign w:val="bottom"/>
            <w:gridSpan w:val="9"/>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26</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780" w:type="dxa"/>
            <w:vAlign w:val="bottom"/>
            <w:gridSpan w:val="11"/>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27</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202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0000FF"/>
                <w:w w:val="99"/>
              </w:rPr>
              <w:t>28</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Executive Summary</w:t>
            </w:r>
          </w:p>
        </w:tc>
        <w:tc>
          <w:tcPr>
            <w:tcW w:w="2380" w:type="dxa"/>
            <w:vAlign w:val="bottom"/>
            <w:gridSpan w:val="11"/>
          </w:tcPr>
          <w:p>
            <w:pPr>
              <w:spacing w:after="0"/>
              <w:rPr>
                <w:sz w:val="18"/>
                <w:szCs w:val="18"/>
                <w:color w:val="auto"/>
              </w:rPr>
            </w:pPr>
          </w:p>
        </w:tc>
        <w:tc>
          <w:tcPr>
            <w:tcW w:w="4760" w:type="dxa"/>
            <w:vAlign w:val="bottom"/>
            <w:gridSpan w:val="7"/>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28</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Our Executive Compensation Practices</w:t>
            </w:r>
          </w:p>
        </w:tc>
        <w:tc>
          <w:tcPr>
            <w:tcW w:w="5780" w:type="dxa"/>
            <w:vAlign w:val="bottom"/>
            <w:gridSpan w:val="11"/>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31</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What We Paid and Why - Compensation for NEOs</w:t>
            </w:r>
          </w:p>
        </w:tc>
        <w:tc>
          <w:tcPr>
            <w:tcW w:w="4940" w:type="dxa"/>
            <w:vAlign w:val="bottom"/>
            <w:gridSpan w:val="8"/>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36</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Compensation Committee Report</w:t>
            </w:r>
          </w:p>
        </w:tc>
        <w:tc>
          <w:tcPr>
            <w:tcW w:w="1260" w:type="dxa"/>
            <w:vAlign w:val="bottom"/>
            <w:gridSpan w:val="5"/>
          </w:tcPr>
          <w:p>
            <w:pPr>
              <w:spacing w:after="0"/>
              <w:rPr>
                <w:sz w:val="18"/>
                <w:szCs w:val="18"/>
                <w:color w:val="auto"/>
              </w:rPr>
            </w:pPr>
          </w:p>
        </w:tc>
        <w:tc>
          <w:tcPr>
            <w:tcW w:w="4940" w:type="dxa"/>
            <w:vAlign w:val="bottom"/>
            <w:gridSpan w:val="8"/>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43</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EXECUTIVE COMPENSATION</w:t>
            </w:r>
          </w:p>
        </w:tc>
        <w:tc>
          <w:tcPr>
            <w:tcW w:w="6200" w:type="dxa"/>
            <w:vAlign w:val="bottom"/>
            <w:gridSpan w:val="13"/>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44</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ADDITIONAL INFORMATION</w:t>
            </w:r>
          </w:p>
        </w:tc>
        <w:tc>
          <w:tcPr>
            <w:tcW w:w="6200" w:type="dxa"/>
            <w:vAlign w:val="bottom"/>
            <w:gridSpan w:val="13"/>
          </w:tcPr>
          <w:p>
            <w:pPr>
              <w:spacing w:after="0"/>
              <w:rPr>
                <w:sz w:val="18"/>
                <w:szCs w:val="18"/>
                <w:color w:val="auto"/>
              </w:rPr>
            </w:pPr>
          </w:p>
        </w:tc>
        <w:tc>
          <w:tcPr>
            <w:tcW w:w="1560" w:type="dxa"/>
            <w:vAlign w:val="bottom"/>
            <w:gridSpan w:val="2"/>
          </w:tcPr>
          <w:p>
            <w:pPr>
              <w:spacing w:after="0"/>
              <w:rPr>
                <w:sz w:val="18"/>
                <w:szCs w:val="18"/>
                <w:color w:val="auto"/>
              </w:rPr>
            </w:pPr>
          </w:p>
        </w:tc>
        <w:tc>
          <w:tcPr>
            <w:tcW w:w="4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0000FF"/>
                <w:w w:val="70"/>
              </w:rPr>
              <w:t>58</w:t>
            </w:r>
          </w:p>
        </w:tc>
        <w:tc>
          <w:tcPr>
            <w:tcW w:w="40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5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86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ANNEX A: NON-GAAP MEASURES</w:t>
            </w:r>
          </w:p>
        </w:tc>
        <w:tc>
          <w:tcPr>
            <w:tcW w:w="202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color w:val="0000FF"/>
                <w:w w:val="99"/>
              </w:rPr>
              <w:t>60</w:t>
            </w:r>
          </w:p>
        </w:tc>
        <w:tc>
          <w:tcPr>
            <w:tcW w:w="400" w:type="dxa"/>
            <w:vAlign w:val="bottom"/>
          </w:tcPr>
          <w:p>
            <w:pPr>
              <w:spacing w:after="0"/>
              <w:rPr>
                <w:sz w:val="18"/>
                <w:szCs w:val="18"/>
                <w:color w:val="auto"/>
              </w:rPr>
            </w:pPr>
          </w:p>
        </w:tc>
      </w:tr>
      <w:tr>
        <w:trPr>
          <w:trHeight w:val="1000"/>
        </w:trPr>
        <w:tc>
          <w:tcPr>
            <w:tcW w:w="2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LGI HOMES, INC.</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347980</wp:posOffset>
            </wp:positionV>
            <wp:extent cx="1577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142240</wp:posOffset>
            </wp:positionV>
            <wp:extent cx="1577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proxy is solicited on behalf of the Board of Directors (the “Board” or “Board of Directors”) of LGI Homes, Inc. (“LGI”, the “Company” or “we”) for use at the Company’s 2026 Annual Meeting of Stockholders (the “Annual Meeting”) to be held at the Company’s headquarters located at </w:t>
      </w:r>
      <w:r>
        <w:rPr>
          <w:rFonts w:ascii="Times New Roman" w:cs="Times New Roman" w:eastAsia="Times New Roman" w:hAnsi="Times New Roman"/>
          <w:sz w:val="18"/>
          <w:szCs w:val="18"/>
          <w:b w:val="1"/>
          <w:bCs w:val="1"/>
          <w:color w:val="auto"/>
        </w:rPr>
        <w:t>1450 Lake Robbins Drive, The Woodlands, Texas 77380, in Suite 140</w:t>
      </w:r>
      <w:r>
        <w:rPr>
          <w:rFonts w:ascii="Times New Roman" w:cs="Times New Roman" w:eastAsia="Times New Roman" w:hAnsi="Times New Roman"/>
          <w:sz w:val="18"/>
          <w:szCs w:val="18"/>
          <w:color w:val="auto"/>
        </w:rPr>
        <w:t xml:space="preserve"> on April 23, 2026, at 3:00 p.m. (Central Time), and any adjournment thereof.</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or about March 13, 2026, we will mail to our stockholders of record and beneficial owners a Notice of Internet Availability of Proxy Materials (the “Notice of Internet Availability”) containing instructions on how to access this proxy statement (this “Proxy Statement”) and our Annual Report on Form 10-K for the fiscal year ended December 31, 2025 (our “2025 Annual Report”), and how to vote online, via the Internet. The Notice of Internet Availability will also contain instructions on how you can receive a paper copy of the proxy materials. Our 2025 Annual Report, Notice of Internet Availability and the proxy card are first being made available online on or about March 13,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the Annual Meeting, our stockholders will act upon the proposals described in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proposals are scheduled to be voted on at the Annual Meeting?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Stockholders will be asked to vote on the following proposals:</w:t>
      </w:r>
    </w:p>
    <w:p>
      <w:pPr>
        <w:spacing w:after="0" w:line="127"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Proposal 1:</w:t>
      </w:r>
      <w:r>
        <w:rPr>
          <w:sz w:val="20"/>
          <w:szCs w:val="20"/>
          <w:color w:val="auto"/>
        </w:rPr>
        <w:tab/>
      </w:r>
      <w:r>
        <w:rPr>
          <w:rFonts w:ascii="Times New Roman" w:cs="Times New Roman" w:eastAsia="Times New Roman" w:hAnsi="Times New Roman"/>
          <w:sz w:val="18"/>
          <w:szCs w:val="18"/>
          <w:color w:val="auto"/>
        </w:rPr>
        <w:t>To elect Ryan Edone, Eric Lipar, Shailee Parikh, Bryan Sansbury, Maria Sharpe, Steven Smith, and Robert Vahradian to the Board</w:t>
      </w:r>
    </w:p>
    <w:p>
      <w:pPr>
        <w:spacing w:after="0" w:line="6" w:lineRule="exact"/>
        <w:rPr>
          <w:sz w:val="20"/>
          <w:szCs w:val="20"/>
          <w:color w:val="auto"/>
        </w:rPr>
      </w:pPr>
    </w:p>
    <w:p>
      <w:pPr>
        <w:ind w:left="1500" w:right="20"/>
        <w:spacing w:after="0" w:line="226" w:lineRule="auto"/>
        <w:rPr>
          <w:sz w:val="20"/>
          <w:szCs w:val="20"/>
          <w:color w:val="auto"/>
        </w:rPr>
      </w:pPr>
      <w:r>
        <w:rPr>
          <w:rFonts w:ascii="Times New Roman" w:cs="Times New Roman" w:eastAsia="Times New Roman" w:hAnsi="Times New Roman"/>
          <w:sz w:val="18"/>
          <w:szCs w:val="18"/>
          <w:color w:val="auto"/>
        </w:rPr>
        <w:t>until our next annual meeting of stockholders, until such director’s successor is elected or appointed and qualified, or until such director’s earlier death, resignation or removal;</w:t>
      </w:r>
    </w:p>
    <w:p>
      <w:pPr>
        <w:ind w:left="1500" w:right="20" w:hanging="1470"/>
        <w:spacing w:after="0" w:line="242"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Proposal 2:</w:t>
      </w:r>
      <w:r>
        <w:rPr>
          <w:sz w:val="20"/>
          <w:szCs w:val="20"/>
          <w:color w:val="auto"/>
        </w:rPr>
        <w:tab/>
      </w:r>
      <w:r>
        <w:rPr>
          <w:rFonts w:ascii="Times New Roman" w:cs="Times New Roman" w:eastAsia="Times New Roman" w:hAnsi="Times New Roman"/>
          <w:sz w:val="18"/>
          <w:szCs w:val="18"/>
          <w:color w:val="auto"/>
        </w:rPr>
        <w:t>To ratify the appointment of Ernst &amp; Young LLP (“Ernst &amp; Young”) as the Company’s independent registered public accounting firm for the fiscal year ending December 31, 2026;</w:t>
      </w:r>
    </w:p>
    <w:p>
      <w:pPr>
        <w:spacing w:after="0" w:line="1" w:lineRule="exact"/>
        <w:rPr>
          <w:sz w:val="20"/>
          <w:szCs w:val="20"/>
          <w:color w:val="auto"/>
        </w:rPr>
      </w:pPr>
    </w:p>
    <w:p>
      <w:pPr>
        <w:ind w:left="1500" w:right="20" w:hanging="1470"/>
        <w:spacing w:after="0" w:line="245" w:lineRule="auto"/>
        <w:tabs>
          <w:tab w:leader="none" w:pos="1480" w:val="left"/>
        </w:tabs>
        <w:rPr>
          <w:sz w:val="20"/>
          <w:szCs w:val="20"/>
          <w:color w:val="auto"/>
        </w:rPr>
      </w:pPr>
      <w:r>
        <w:rPr>
          <w:rFonts w:ascii="Times New Roman" w:cs="Times New Roman" w:eastAsia="Times New Roman" w:hAnsi="Times New Roman"/>
          <w:sz w:val="18"/>
          <w:szCs w:val="18"/>
          <w:b w:val="1"/>
          <w:bCs w:val="1"/>
          <w:color w:val="auto"/>
        </w:rPr>
        <w:t>Proposal 3:</w:t>
      </w:r>
      <w:r>
        <w:rPr>
          <w:sz w:val="20"/>
          <w:szCs w:val="20"/>
          <w:color w:val="auto"/>
        </w:rPr>
        <w:tab/>
      </w:r>
      <w:r>
        <w:rPr>
          <w:rFonts w:ascii="Times New Roman" w:cs="Times New Roman" w:eastAsia="Times New Roman" w:hAnsi="Times New Roman"/>
          <w:sz w:val="18"/>
          <w:szCs w:val="18"/>
          <w:color w:val="auto"/>
        </w:rPr>
        <w:t>To conduct an advisory vote to approve the compensation paid to our named executive officers (“NEOs”) for 2025, as disclosed in this Proxy Statement (such vote, a “Say-on-Pay vote”); and</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to be brought before the Annual Meeting. If any additional business is properly brought before the Annual Meeting, proxies will be voted on those matters in accordance with the judgment of the person or persons acting under the proxies.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recommendation of the Board on each of the proposals scheduled to be voted on at the Annual Meeting?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113"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election of each of the nominees for director named in Proposal 1;</w:t>
      </w:r>
    </w:p>
    <w:p>
      <w:pPr>
        <w:spacing w:after="0" w:line="117" w:lineRule="exact"/>
        <w:rPr>
          <w:rFonts w:ascii="Times New Roman" w:cs="Times New Roman" w:eastAsia="Times New Roman" w:hAnsi="Times New Roman"/>
          <w:sz w:val="18"/>
          <w:szCs w:val="18"/>
          <w:color w:val="auto"/>
        </w:rPr>
      </w:pPr>
    </w:p>
    <w:p>
      <w:pPr>
        <w:ind w:left="820" w:right="20" w:hanging="326"/>
        <w:spacing w:after="0" w:line="286"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ratification of the appointment of Ernst &amp; Young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 in Proposal 2; and</w:t>
      </w:r>
    </w:p>
    <w:p>
      <w:pPr>
        <w:spacing w:after="0" w:line="4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approval, on an advisory basis, of the compensation paid to the NEOs for 2025 in Proposal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When you vote by proxy, you authorize our officers listed on the proxy card to vote your shares of our common stock on your behalf as you direct.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absence of such direction, your shares will be voted:</w:t>
      </w:r>
    </w:p>
    <w:p>
      <w:pPr>
        <w:spacing w:after="0" w:line="95"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nominees for director named in Proposal 1;</w:t>
      </w:r>
    </w:p>
    <w:p>
      <w:pPr>
        <w:spacing w:after="0" w:line="117" w:lineRule="exact"/>
        <w:rPr>
          <w:rFonts w:ascii="Times New Roman" w:cs="Times New Roman" w:eastAsia="Times New Roman" w:hAnsi="Times New Roman"/>
          <w:sz w:val="18"/>
          <w:szCs w:val="18"/>
          <w:color w:val="auto"/>
        </w:rPr>
      </w:pPr>
    </w:p>
    <w:p>
      <w:pPr>
        <w:ind w:left="820" w:right="20" w:hanging="326"/>
        <w:spacing w:after="0" w:line="28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Ernst &amp; Young as the Company’s independent registered public accounting firm for the fiscal year ending December 31, 2026 in Proposal 2; and</w:t>
      </w:r>
    </w:p>
    <w:p>
      <w:pPr>
        <w:spacing w:after="0" w:line="4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on an advisory basis, of the compensation paid to the NEOs for 2025 in Proposal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Ownership of Shares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the close of business on the record date, February 27, 2026, the Company had 23,133,086 shares of common stock outstanding and entitled to vote. Each share of our common stock is entitled to one vote on each matter brought before the Annual Meeting. The following votes are required to approve each of the proposals at the meeting.</w:t>
      </w:r>
    </w:p>
    <w:p>
      <w:pPr>
        <w:spacing w:after="0" w:line="64" w:lineRule="exact"/>
        <w:rPr>
          <w:sz w:val="20"/>
          <w:szCs w:val="20"/>
          <w:color w:val="auto"/>
        </w:rPr>
      </w:pPr>
    </w:p>
    <w:p>
      <w:pPr>
        <w:ind w:left="820" w:hanging="326"/>
        <w:spacing w:after="0" w:line="286"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Proposal 1 regarding the election of directors requires the approval of a plurality of the votes cast. This means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seven nominees receiving the highest number of affirmative FOR votes will be elected as directors.</w:t>
      </w:r>
    </w:p>
    <w:p>
      <w:pPr>
        <w:spacing w:after="0" w:line="46"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Generally, the Company’s Bylaws (our “Bylaws”)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approval of any matter presented to our stockholders at a meeting of our stockholders be decided by the vote of the holders of our stock having a majority of the votes which could be cast by the holders of all stock entitled to vote on such question which are present in person or by proxy at the meeting. Proposal 2 regarding the ratification of the appointment of Ernst &amp; Young as the Company’s independent registered public accounting firm requires the approval of a majority of the shares of our common stock entitled to vote on the matter which are present in person or by proxy at the Annual Meeting.</w:t>
      </w:r>
    </w:p>
    <w:p>
      <w:pPr>
        <w:spacing w:after="0" w:line="74" w:lineRule="exact"/>
        <w:rPr>
          <w:rFonts w:ascii="Times New Roman" w:cs="Times New Roman" w:eastAsia="Times New Roman" w:hAnsi="Times New Roman"/>
          <w:sz w:val="18"/>
          <w:szCs w:val="18"/>
          <w:color w:val="auto"/>
        </w:rPr>
      </w:pPr>
    </w:p>
    <w:p>
      <w:pPr>
        <w:jc w:val="both"/>
        <w:ind w:left="820" w:hanging="326"/>
        <w:spacing w:after="0" w:line="259"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Advisory Vote on the Compensation Paid to the NEOs. </w:t>
      </w:r>
      <w:r>
        <w:rPr>
          <w:rFonts w:ascii="Times New Roman" w:cs="Times New Roman" w:eastAsia="Times New Roman" w:hAnsi="Times New Roman"/>
          <w:sz w:val="18"/>
          <w:szCs w:val="18"/>
          <w:color w:val="auto"/>
        </w:rPr>
        <w:t>Approval of the compensation of the NEOs, as described in Proposal 3,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shares of our common stock entitled to vote on the matter which are present in person or by proxy at the Annual Meeting. This vote, however, is merely advisory and is not binding on the Company, the Board or its Compensation Committee. Despite the fact that the vote is non-binding, the Board and the Compensation Committee will take the results of the vote under advisement when making future decisions regarding the Company’s executive compensation program.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Stockholders as of the close of business on the record date for the Annual Meeting (February 27, 2026) are entitled to vote at the Annual Meeting. At the close of business on the record date, there were outstanding and entitled to vote 23,133,086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at the close of business on February 27, 2026, your shares of our common stock were registered directly in your name with our transfer agent, Computershare Investor Services, then you are considered the stockholder of record with respect to those shares.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stockholder of record, you may vote at the Annual Meeting or vote by proxy. Whether or not you plan to attend the Annual Meeting, we urge you to vote over the Internet or by telephone, or if you request paper proxy materials, by filling out and returning the proxy card.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Nominee</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at the close of business on February 27, 2026, your shares of our common stock were held in an account with a brokerage firm, bank or other nominee, then you are the beneficial owner of the shares of our common stock held in street name. As a beneficial owner, you have the right to direct your nominee on how to vote the shares of our common stock held in your account, and your nominee has enclosed or provided voting instructions for you to use in directing it on how to vote your shares of our common stock. However, the organization that holds your shares of our common stock is considered the stockholder of record for purposes of voting at the Annual Meeting. Because you are not the stockholder of record, you may not vote your shares of our common stock at the Annual Meeting unless you request and obtain a valid proxy from the organization that is the record stockholder of your shares of our common stock giving you the right to vote the shares of our common stock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you are a stockholder of record, you may:</w:t>
      </w:r>
    </w:p>
    <w:p>
      <w:pPr>
        <w:spacing w:after="0" w:line="117"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person—we will provide a ballot to stockholders who attend the Annual Meeting and wish to vote in person;</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mail—if you request a paper proxy card, simply complete, sign and date the proxy card, then follow the instructions on the proxy card; or</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via the Internet or via telephone—follow the instructions on the Notice of Internet Availability or proxy card and have the Notice of Internet Availability or proxy card available when you access the internet website or place your telephone call.</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Votes submitted via the Internet or by telephone must be received by 5:00 p.m., Central Time, on April 22, 2026. Submitting your proxy, whether via the Internet, by telephone or by mail if you requested a paper proxy card, will not affect your right to vote at the Annual Meeting if you were a stockholder of record as of the close of business on February 27, 2026, and should you decide to attend the Annual Meeting and vote your shares of our common stock at the Annual Meeting.</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you are not a stockholder of record, please refer to the voting instructions provided by your nominee to direct it how to vote your shares of our common stock.</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urge you to vote by proxy to ensure that your vote is counted. You may still attend the Annual Meeting if you have already voted by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stockholder giving a proxy has the power to revoke it at any time before it is voted by providing written notice to the Secretary of the Company, by delivering a later-dated proxy, or by voting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of the outstanding shares of our common stock as of the record date must be present at the Annual Meeting in order to hold the Annual Meeting and conduct business. This presence is called a quorum. Your shares of our common stock are counted as present at the Annual Meeting if you are present and vote in person at the Annual Meeting or if you have properly submitted a proxy.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withholding of authority to vote for a director nominee treated?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Withholding of authority to vote for a director nominee has no effect on the election of directors (Proposal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abstentions and broker non-votes treated?</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Abstentions (shares of our common stock present at the Annual Meeting and voted “abstain”) are counted for purposes of determining whether a quorum is present at the Annual Meeting. Abstentions will be counted toward the tabulation of the shares of our common stock entitled to vote on the matter and thus will have the same effect as a negative vote on the ratification of appointment of auditors (Proposal 2) and the approval of the compensation paid to the NEOs for 2025 (Proposal 3).</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Broker non-votes occur when shares of our common stock held by a broker for a beneficial owner are not voted either because (i) the broker did not receive voting instructions from the beneficial owner, or (ii) the broker lacked discretionary authority to vote the shares. Broker non-votes are counted for purposes of determining whether a quorum is present, and have no effect on the election of directors (Proposal 1), the ratification of appointment of auditors (Proposal 2), and the approval of the compensation paid to the NEOs for 2025 (Proposal 3). Note that if you are a beneficial holder and do not provide specific voting instructions to your broker, the broker that holds your shares of our common stock will not be authorized to vote on the election of directors (Proposal 1) or on the approval of the compensation paid to the NEOs for 2025 (Proposal 3). Ratification of the appointment of auditors (Proposal</w:t>
      </w:r>
    </w:p>
    <w:p>
      <w:pPr>
        <w:spacing w:after="0" w:line="5" w:lineRule="exact"/>
        <w:rPr>
          <w:sz w:val="20"/>
          <w:szCs w:val="20"/>
          <w:color w:val="auto"/>
        </w:rPr>
      </w:pPr>
    </w:p>
    <w:p>
      <w:pPr>
        <w:jc w:val="both"/>
        <w:ind w:firstLine="8"/>
        <w:spacing w:after="0" w:line="255" w:lineRule="auto"/>
        <w:tabs>
          <w:tab w:leader="none" w:pos="1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considered to be a routine matter and, accordingly, if you do not instruct your broker, bank or other nominee on how to vote the shares of our common stock in your account for Proposal 2, brokers will be permitted to exercise their discretionary authority to vote for the ratification of the appointment of auditors. Accordingly, we encourage you to provide voting instructions to your broker, whether or not you plan to attend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of our common stock should be voted on a particular proposal at the Annual Meeting, your shares of our common stock will be voted in accordance with the recommendations of our Board of Directors stated above.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you do not vote and you hold your shares of our common stock in street name, and your broker does not have discretionary power to vote your shares of our common stock, your shares may constitute “broker non-votes” (as described above). Shares that constitute broker non-votes will be counted for the purpose of establishing a quorum for the Annual Meeting. Voting results will be tabulated and certified by the inspector of elections appointed for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Pursuant to rules adopted by the Securities and Exchange Commission (“SEC”), the Company uses the Internet as the primary means of furnishing proxy materials to stockholders of record as of the record date for the Annual Meeting. Accordingly, on or about March 13, 2026, the Company will mail a Notice of Internet Availability to the Company’s stockholders. All stockholders will have the ability to access the proxy materials on the website referred to in the Notice of Internet Availability or request a printed set of the proxy materials. Instructions on how to access the proxy materials over the Internet or to request a printed copy may be found in the Notice of Internet Availability and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The Notice of Internet Availability also contains instructions on how to receive, free of charge, paper copies of the proxy materials. If you received the notice, then you will not receive a paper copy of the proxy materials unless you request one. The Company encourages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stockholders to take advantage of the availability of the proxy materials on the Internet to help reduce cost to the Company associated with the physical printing and mailing of proxy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electronic access to the proxy materials?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Notice of Internet Availability will provide you with instructions regarding how to use the Internet to:</w:t>
      </w:r>
    </w:p>
    <w:p>
      <w:pPr>
        <w:spacing w:after="0" w:line="117"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the Company’s proxy materials for the Annual Meeting;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Company to send future proxy materials to you by email.</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Company’s proxy materials are also available at </w:t>
      </w:r>
      <w:r>
        <w:rPr>
          <w:rFonts w:ascii="Times New Roman" w:cs="Times New Roman" w:eastAsia="Times New Roman" w:hAnsi="Times New Roman"/>
          <w:sz w:val="18"/>
          <w:szCs w:val="18"/>
          <w:u w:val="single" w:color="auto"/>
          <w:color w:val="auto"/>
        </w:rPr>
        <w:t>http://www.investor.lgihomes.com</w:t>
      </w:r>
      <w:r>
        <w:rPr>
          <w:rFonts w:ascii="Times New Roman" w:cs="Times New Roman" w:eastAsia="Times New Roman" w:hAnsi="Times New Roman"/>
          <w:sz w:val="18"/>
          <w:szCs w:val="18"/>
          <w:color w:val="auto"/>
        </w:rPr>
        <w:t>. This website address is included for reference only. The information contained on the Company’s website is not incorporated by reference into this Proxy Statement.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the Company the cost of printing and mailing documents to you.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paying the costs of the solicitation of proxies. Proxies may be solicited on behalf of the Company by our directors, officers, employees or agents in person or by telephone, facsimile or other electronic means. We will also reimburse brokerage firms and other custodians, nominees and fiduciaries, upon request, for their reasonable expenses incurred in sending proxies and proxy materials to beneficial owners of our common stock. We have not retained an outside proxy solicitation firm to assist us with the solicitation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1—ELECTION OF DIRECTORS</w:t>
      </w:r>
    </w:p>
    <w:p>
      <w:pPr>
        <w:spacing w:after="0" w:line="229" w:lineRule="exact"/>
        <w:rPr>
          <w:sz w:val="20"/>
          <w:szCs w:val="20"/>
          <w:color w:val="auto"/>
        </w:rPr>
      </w:pPr>
    </w:p>
    <w:p>
      <w:pPr>
        <w:jc w:val="both"/>
        <w:ind w:right="20" w:firstLine="217"/>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Our Certificate of Incorporation provides that the authorized number of directors may be changed only by resolution of the Board.</w:t>
      </w:r>
    </w:p>
    <w:p>
      <w:pPr>
        <w:spacing w:after="0" w:line="54"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color w:val="auto"/>
        </w:rPr>
        <w:t>Each nominee presented below, if elected, will serve as a director until the next annual meeting of stockholders and until such director’s successor is duly elected or appointed and qualified or, if earlier, such director’s death, resignation or removal. All of the nominees listed below have given their consent to be named as nominees for election and have indicated their intention to serve if they are elected. All of the nominees currently serve on the Board. The Board does not anticipate that any of the nominees will be unable to serve as a director, but in the event that any nominee is unable to serve as a director or should otherwise become unavailable, the Board may either propose an alternate nominee, in which case the proxies will be voted for the alternative nominee unless directed to withhold from voting, or the Board may elect to reduce the size of the Board.</w:t>
      </w:r>
    </w:p>
    <w:p>
      <w:pPr>
        <w:spacing w:after="0" w:line="79" w:lineRule="exact"/>
        <w:rPr>
          <w:sz w:val="20"/>
          <w:szCs w:val="20"/>
          <w:color w:val="auto"/>
        </w:rPr>
      </w:pPr>
    </w:p>
    <w:p>
      <w:pPr>
        <w:jc w:val="both"/>
        <w:ind w:firstLine="219"/>
        <w:spacing w:after="0" w:line="282" w:lineRule="auto"/>
        <w:rPr>
          <w:sz w:val="20"/>
          <w:szCs w:val="20"/>
          <w:color w:val="auto"/>
        </w:rPr>
      </w:pPr>
      <w:r>
        <w:rPr>
          <w:rFonts w:ascii="Times New Roman" w:cs="Times New Roman" w:eastAsia="Times New Roman" w:hAnsi="Times New Roman"/>
          <w:sz w:val="18"/>
          <w:szCs w:val="18"/>
          <w:color w:val="auto"/>
        </w:rPr>
        <w:t>Mr. Smith is the uncle of Mr. Eric Lipar, our Chief Executive Officer and Chairman of the Board. There are no other familial relationships among our directors and executive officers.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jc w:val="both"/>
        <w:ind w:firstLine="236"/>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that it is necessary for each of our directors to possess qualities, attributes and skills that contribute to a diversity of views and perspectives among the directors and enhance the overall effectiveness of the Board. As described under “Corporate Governance - Corporate Governance Matters and Director Independence - Selection and Evaluation of Director Candidates,” our Nominating and Corporate Governance Committee considers all factors it deems relevant when evaluating prospective candidates or current board members for nomination to our Board of Directors, as prescribed in the committee’s charter. All of our directors bring to the Board leadership experience derived from past service. They also all bring a diversity of views and perspectives derived from their individual experiences working in a range of industries and occupations, which provide our Board of Directors, as a whole, with the skills and expertise that reflect the needs of the Company.</w:t>
      </w:r>
    </w:p>
    <w:p>
      <w:pPr>
        <w:spacing w:after="0" w:line="81" w:lineRule="exact"/>
        <w:rPr>
          <w:sz w:val="20"/>
          <w:szCs w:val="20"/>
          <w:color w:val="auto"/>
        </w:rPr>
      </w:pPr>
    </w:p>
    <w:p>
      <w:pPr>
        <w:jc w:val="both"/>
        <w:ind w:firstLine="192"/>
        <w:spacing w:after="0" w:line="282" w:lineRule="auto"/>
        <w:rPr>
          <w:sz w:val="20"/>
          <w:szCs w:val="20"/>
          <w:color w:val="auto"/>
        </w:rPr>
      </w:pPr>
      <w:r>
        <w:rPr>
          <w:rFonts w:ascii="Times New Roman" w:cs="Times New Roman" w:eastAsia="Times New Roman" w:hAnsi="Times New Roman"/>
          <w:sz w:val="18"/>
          <w:szCs w:val="18"/>
          <w:color w:val="auto"/>
        </w:rPr>
        <w:t>Certain individual experiences, qualifications, and skills of our directors that contribute to the Board’s effectiveness as a whole are described in the table and biographies set forth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426075" cy="2726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607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Biographies</w:t>
      </w:r>
    </w:p>
    <w:p>
      <w:pPr>
        <w:spacing w:after="0" w:line="266"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Ryan Edone</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256" w:lineRule="exact"/>
        <w:rPr>
          <w:sz w:val="20"/>
          <w:szCs w:val="20"/>
          <w:color w:val="auto"/>
        </w:rPr>
      </w:pPr>
    </w:p>
    <w:p>
      <w:pPr>
        <w:jc w:val="both"/>
        <w:ind w:firstLine="189"/>
        <w:spacing w:after="0" w:line="254" w:lineRule="auto"/>
        <w:rPr>
          <w:sz w:val="20"/>
          <w:szCs w:val="20"/>
          <w:color w:val="auto"/>
        </w:rPr>
      </w:pPr>
      <w:r>
        <w:rPr>
          <w:rFonts w:ascii="Times New Roman" w:cs="Times New Roman" w:eastAsia="Times New Roman" w:hAnsi="Times New Roman"/>
          <w:sz w:val="18"/>
          <w:szCs w:val="18"/>
          <w:color w:val="auto"/>
        </w:rPr>
        <w:t>Mr. Edone, age 52, has served as a director since November 2014. Since August 1999, Mr. Edone has served as the Chief Financial Officer of Petroleum Wholesale L.P., a distributor of branded and wholesale motor fuel products and operator of retail convenience stores/travel centers across the southwestern United States. Prior to his joining Petroleum Wholesale L.P. in 1999, Mr. Edone was a manager at PricewaterhouseCoopers and a Certified Public Accountant. Mr. Edone is a member of the Board of Directors of Archway Insurance LTD (“Archway”), a captive insurance company. At Archway, Mr. Edone formerly served in roles as the President and Vice President of the Board, as well as Risk Control Chairman and Underwriting Chairman of the Board. Mr. Edone is also a member of the ChevronTexaco Petroleum Marketers Association Board. Mr. Edone is the chair of our Audit Committee, and our Board of Directors has determined that Mr. Edone qualifies as an “audit committee financial expert,” as such term is defined in Item 407(d) of Regulation S-K.</w:t>
      </w:r>
    </w:p>
    <w:p>
      <w:pPr>
        <w:spacing w:after="0" w:line="84" w:lineRule="exact"/>
        <w:rPr>
          <w:sz w:val="20"/>
          <w:szCs w:val="20"/>
          <w:color w:val="auto"/>
        </w:rPr>
      </w:pPr>
    </w:p>
    <w:p>
      <w:pPr>
        <w:jc w:val="both"/>
        <w:ind w:firstLine="313"/>
        <w:spacing w:after="0" w:line="266" w:lineRule="auto"/>
        <w:rPr>
          <w:sz w:val="20"/>
          <w:szCs w:val="20"/>
          <w:color w:val="auto"/>
        </w:rPr>
      </w:pPr>
      <w:r>
        <w:rPr>
          <w:rFonts w:ascii="Times New Roman" w:cs="Times New Roman" w:eastAsia="Times New Roman" w:hAnsi="Times New Roman"/>
          <w:sz w:val="18"/>
          <w:szCs w:val="18"/>
          <w:color w:val="auto"/>
        </w:rPr>
        <w:t>Mr. Edone’s experience as an executive with a multi-state retail and wholesale distribution company enables him to provide both financial and operational expertise to the Company. In addition, Mr. Edone brings insurance and risk management expertise that is valuable to support the continued growth of our business.</w:t>
      </w:r>
    </w:p>
    <w:p>
      <w:pPr>
        <w:spacing w:after="0" w:line="212" w:lineRule="exact"/>
        <w:rPr>
          <w:sz w:val="20"/>
          <w:szCs w:val="20"/>
          <w:color w:val="auto"/>
        </w:rPr>
      </w:pPr>
    </w:p>
    <w:p>
      <w:pPr>
        <w:ind w:left="6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Eric Lipar</w:t>
      </w:r>
      <w:r>
        <w:rPr>
          <w:sz w:val="20"/>
          <w:szCs w:val="20"/>
          <w:color w:val="auto"/>
        </w:rPr>
        <w:tab/>
      </w:r>
      <w:r>
        <w:rPr>
          <w:rFonts w:ascii="Times New Roman" w:cs="Times New Roman" w:eastAsia="Times New Roman" w:hAnsi="Times New Roman"/>
          <w:sz w:val="17"/>
          <w:szCs w:val="17"/>
          <w:b w:val="1"/>
          <w:bCs w:val="1"/>
          <w:color w:val="auto"/>
        </w:rPr>
        <w:t>Chief Executive Officer, Director</w:t>
      </w:r>
    </w:p>
    <w:p>
      <w:pPr>
        <w:spacing w:after="0" w:line="243" w:lineRule="exact"/>
        <w:rPr>
          <w:sz w:val="20"/>
          <w:szCs w:val="20"/>
          <w:color w:val="auto"/>
        </w:rPr>
      </w:pPr>
    </w:p>
    <w:p>
      <w:pPr>
        <w:jc w:val="both"/>
        <w:ind w:firstLine="200"/>
        <w:spacing w:after="0" w:line="255" w:lineRule="auto"/>
        <w:rPr>
          <w:sz w:val="20"/>
          <w:szCs w:val="20"/>
          <w:color w:val="auto"/>
        </w:rPr>
      </w:pPr>
      <w:r>
        <w:rPr>
          <w:rFonts w:ascii="Times New Roman" w:cs="Times New Roman" w:eastAsia="Times New Roman" w:hAnsi="Times New Roman"/>
          <w:sz w:val="18"/>
          <w:szCs w:val="18"/>
          <w:color w:val="auto"/>
        </w:rPr>
        <w:t>Mr. Lipar, age 55, is our Chief Executive Officer and serves as Chairman of our Board of Directors. He has served as our Chief Executive Officer since 2009, as a director since June 2013 and as Chairman of the Board since July 2013. Previously, Mr. Lipar served as our President from 2003 until 2009. Mr. Lipar has been in the residential land development business since the mid-1990s and is one of our founders. He has overseen land acquisitions, development and the closing of over 80,000 homes since our inception. Mr. Lipar is a member of the Policy Advisory Board for the Harvard Joint Center for Housing Studies. Through his in-depth work experience, Mr. Lipar has obtained a broad background in all aspects of residential construction, development, financing, sales and marketing. Mr. Lipar is responsible for our overall strategic leadership, working closely with our key executives to establish, implement and direct our long-range goals, strategies and policies.</w:t>
      </w:r>
    </w:p>
    <w:p>
      <w:pPr>
        <w:spacing w:after="0" w:line="81" w:lineRule="exact"/>
        <w:rPr>
          <w:sz w:val="20"/>
          <w:szCs w:val="20"/>
          <w:color w:val="auto"/>
        </w:rPr>
      </w:pPr>
    </w:p>
    <w:p>
      <w:pPr>
        <w:jc w:val="both"/>
        <w:ind w:firstLine="196"/>
        <w:spacing w:after="0" w:line="258" w:lineRule="auto"/>
        <w:rPr>
          <w:sz w:val="20"/>
          <w:szCs w:val="20"/>
          <w:color w:val="auto"/>
        </w:rPr>
      </w:pPr>
      <w:r>
        <w:rPr>
          <w:rFonts w:ascii="Times New Roman" w:cs="Times New Roman" w:eastAsia="Times New Roman" w:hAnsi="Times New Roman"/>
          <w:sz w:val="18"/>
          <w:szCs w:val="18"/>
          <w:color w:val="auto"/>
        </w:rPr>
        <w:t>Mr. Lipar brings extensive leadership, along with industry and operational experience to our Board of Directors. Through his experience, his knowledge of our operations and our markets and his professional relationships within the homebuilding industry, Mr. Lipar is highly qualified to identify important matters for review and deliberation by our Board of Directors and is instrumental in determining our corporate strategy. In addition, by serving as both the Chairman of the Board and our Chief Executive Officer, Mr. Lipar serves as an invaluable bridge between our management and our Board of Directors and ensures that they act with a common purpose.</w:t>
      </w:r>
    </w:p>
    <w:p>
      <w:pPr>
        <w:spacing w:after="0" w:line="75" w:lineRule="exact"/>
        <w:rPr>
          <w:sz w:val="20"/>
          <w:szCs w:val="20"/>
          <w:color w:val="auto"/>
        </w:rPr>
      </w:pPr>
    </w:p>
    <w:p>
      <w:pPr>
        <w:jc w:val="both"/>
        <w:ind w:right="20" w:firstLine="241"/>
        <w:spacing w:after="0" w:line="282" w:lineRule="auto"/>
        <w:rPr>
          <w:sz w:val="20"/>
          <w:szCs w:val="20"/>
          <w:color w:val="auto"/>
        </w:rPr>
      </w:pPr>
      <w:r>
        <w:rPr>
          <w:rFonts w:ascii="Times New Roman" w:cs="Times New Roman" w:eastAsia="Times New Roman" w:hAnsi="Times New Roman"/>
          <w:sz w:val="18"/>
          <w:szCs w:val="18"/>
          <w:color w:val="auto"/>
        </w:rPr>
        <w:t>Mr. Lipar’s extensive business knowledge, along with his demonstrated leadership capability through the growth of the Company, makes him highly qualified to continue to serve as our Chairman of the Board and our Chief Executive Officer.</w:t>
      </w:r>
    </w:p>
    <w:p>
      <w:pPr>
        <w:spacing w:after="0" w:line="198"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Shailee Parikh</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135" w:lineRule="exact"/>
        <w:rPr>
          <w:sz w:val="20"/>
          <w:szCs w:val="20"/>
          <w:color w:val="auto"/>
        </w:rPr>
      </w:pPr>
    </w:p>
    <w:p>
      <w:pPr>
        <w:jc w:val="both"/>
        <w:ind w:firstLine="236"/>
        <w:spacing w:after="0"/>
        <w:rPr>
          <w:sz w:val="20"/>
          <w:szCs w:val="20"/>
          <w:color w:val="auto"/>
        </w:rPr>
      </w:pPr>
      <w:r>
        <w:rPr>
          <w:rFonts w:ascii="Times New Roman" w:cs="Times New Roman" w:eastAsia="Times New Roman" w:hAnsi="Times New Roman"/>
          <w:sz w:val="18"/>
          <w:szCs w:val="18"/>
          <w:color w:val="auto"/>
        </w:rPr>
        <w:t>Ms. Parikh, age 45, has served as a director since December 2021. Since September 2025, Ms. Parikh has served as the Chief Operating Officer and Managing Director, Head of North America, of Revantage, a Blackstone Portfolio Company, responsible for driving strategic growth, scale and operational efficiency across the business. Since August 2023, Ms. Parikh has also been a Managing Partner of ARK Real Estate, LLC, a real estate investment and management company. From April 2020 to August 2023, Ms. Parikh was the Global Head of Strategy and Solution Development, Health Solutions at Aon plc (“Aon”), a leading global professional services firm. Ms. Parikh held various leadership positions within Aon, including Senior Vice President, Aon Business Services from 2017 to 2020; Senior Vice President, Global Service Operations, Aon Hewitt from 2016 to 2017; Chief Financial Officer of EMEA, Aon Hewitt from 2015 to 2016; and Chief of Staff to the Chief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Executive Officer of Aon from 2012 to 2015. Prior to her roles with Aon, Ms. Parikh served in various finance leadership capacities, including roles with Reunion Bank of Florida from 2010 to 2012, BB&amp;T (formerly Colonial Bank) from 2005 to 2010 and within the Investment Banking Division of Morgan Stanley from 2002 to 2004. Ms. Parikh is a member of our Audit Committee, and our Board of Directors has determined that Ms. Parikh qualifies as an “audit committee financial expert,” as such term is defined in Item 407(d) of Regulation S-K.</w:t>
      </w:r>
    </w:p>
    <w:p>
      <w:pPr>
        <w:spacing w:after="0" w:line="86" w:lineRule="exact"/>
        <w:rPr>
          <w:sz w:val="20"/>
          <w:szCs w:val="20"/>
          <w:color w:val="auto"/>
        </w:rPr>
      </w:pPr>
    </w:p>
    <w:p>
      <w:pPr>
        <w:jc w:val="both"/>
        <w:ind w:firstLine="290"/>
        <w:spacing w:after="0" w:line="282" w:lineRule="auto"/>
        <w:rPr>
          <w:sz w:val="20"/>
          <w:szCs w:val="20"/>
          <w:color w:val="auto"/>
        </w:rPr>
      </w:pPr>
      <w:r>
        <w:rPr>
          <w:rFonts w:ascii="Times New Roman" w:cs="Times New Roman" w:eastAsia="Times New Roman" w:hAnsi="Times New Roman"/>
          <w:sz w:val="18"/>
          <w:szCs w:val="18"/>
          <w:color w:val="auto"/>
        </w:rPr>
        <w:t>Ms. Parikh’s experience as an executive with global professional services firms and her extensive finance, management, operations, and business strategy expertise make her highly qualified to serve as a member of our Board of Directors and our Audit Committee.</w:t>
      </w:r>
    </w:p>
    <w:p>
      <w:pPr>
        <w:spacing w:after="0" w:line="198"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Bryan Sansbury</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243" w:lineRule="exact"/>
        <w:rPr>
          <w:sz w:val="20"/>
          <w:szCs w:val="20"/>
          <w:color w:val="auto"/>
        </w:rPr>
      </w:pPr>
    </w:p>
    <w:p>
      <w:pPr>
        <w:jc w:val="both"/>
        <w:ind w:firstLine="213"/>
        <w:spacing w:after="0" w:line="254" w:lineRule="auto"/>
        <w:rPr>
          <w:sz w:val="20"/>
          <w:szCs w:val="20"/>
          <w:color w:val="auto"/>
        </w:rPr>
      </w:pPr>
      <w:r>
        <w:rPr>
          <w:rFonts w:ascii="Times New Roman" w:cs="Times New Roman" w:eastAsia="Times New Roman" w:hAnsi="Times New Roman"/>
          <w:sz w:val="18"/>
          <w:szCs w:val="18"/>
          <w:color w:val="auto"/>
        </w:rPr>
        <w:t>Mr. Sansbury, age 53, has served as our Lead Independent Director since June 2013. Since June 2019, Mr. Sansbury has served as the Chief Executive Officer, Chairman of the Board of Directors and a founding partner of AEGIS Hedging Solutions, LLC, formerly known as AEGIS Energy Risk, LLC. Prior to September 2017, Mr. Sansbury served as President of Health and Wealth Solutions at Alight Solutions, the former outsourcing business of Aon Hewitt. For over 20 years, Mr. Sansbury held various positions with Aon Hewitt and its affiliates including positions as Chief Operating Officer and Chief Information Officer, President of Emerging Solutions, leader of the Canadian Outsourcing business, and leader of the Pension Outsourcing business in the Southeast region. Mr. Sansbury is a former member of The Woodlands (Texas) Area Economic Development Partnership Board and is a Fellow of the CEO Perspectives program at the Kellogg School of Management at Northwestern University. Mr. Sansbury is a member of our Compensation Committee and our Nominating and Corporate Governance Committee.</w:t>
      </w:r>
    </w:p>
    <w:p>
      <w:pPr>
        <w:spacing w:after="0" w:line="84"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Given his extensive business experience, Mr. Sansbury provides our Board of Directors with a unique perspective on business issues impacting the Company as well as corporate governance. His leadership experience in several different capacities also makes him highly qualified to serve as the Lead Independent Director of our Board of Directors and as a member of our Compensation Committee and our Nominating and Corporate Governance Committee.</w:t>
      </w:r>
    </w:p>
    <w:p>
      <w:pPr>
        <w:spacing w:after="0" w:line="216"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Maria Sharpe</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256" w:lineRule="exact"/>
        <w:rPr>
          <w:sz w:val="20"/>
          <w:szCs w:val="20"/>
          <w:color w:val="auto"/>
        </w:rPr>
      </w:pPr>
    </w:p>
    <w:p>
      <w:pPr>
        <w:jc w:val="both"/>
        <w:ind w:firstLine="205"/>
        <w:spacing w:after="0" w:line="253" w:lineRule="auto"/>
        <w:rPr>
          <w:sz w:val="20"/>
          <w:szCs w:val="20"/>
          <w:color w:val="auto"/>
        </w:rPr>
      </w:pPr>
      <w:r>
        <w:rPr>
          <w:rFonts w:ascii="Times New Roman" w:cs="Times New Roman" w:eastAsia="Times New Roman" w:hAnsi="Times New Roman"/>
          <w:sz w:val="18"/>
          <w:szCs w:val="18"/>
          <w:color w:val="auto"/>
        </w:rPr>
        <w:t>Ms. Sharpe, age 67, has served as a director since January 2022. Since 2016, Ms. Sharpe has been the Managing Principal of Sharpe Human Solutions, LLC, a human resource consulting and commercial real estate investments company. Prior to 2016, Ms. Sharpe served as Senior Vice President, Global Human Capital Management, Services &amp; Operations at PepsiCo, Inc., a food and beverage company, since 2014, and was Chief Human Resources Officer, PepsiCo Europe from 2010 to 2014 and Senior Vice President, Compensation, Benefits &amp; Human Resource Systems from 2008 to 2010. From 2004 until 2008, Ms. Sharpe was Chief Human Resources Officer &amp; Corporate Secretary of UST Inc., a tobacco products company, responsible for the company's human resources function and corporate governance matters. Before that, Ms. Sharpe held various senior human resources and legal positions at Pepsico, Inc., including Vice President, Benefits from 2002 to 2004, Vice President, Compensation from 1999 to 2002 and Vice President, Human Resources Counsel from 1995 to 1999. From November 2016 to June 2025, she served as an independent director at Lamb Weston Holdings, Inc., where she was a member of the Nominating and Corporate Governance Committee and chairman of the Compensation and Human Capital Committee. Ms. Sharpe is admitted to practice law in the states of New York, New Jersey and Texas. Ms. Sharpe is the chair of our Compensation Committee.</w:t>
      </w:r>
    </w:p>
    <w:p>
      <w:pPr>
        <w:spacing w:after="0" w:line="86" w:lineRule="exact"/>
        <w:rPr>
          <w:sz w:val="20"/>
          <w:szCs w:val="20"/>
          <w:color w:val="auto"/>
        </w:rPr>
      </w:pPr>
    </w:p>
    <w:p>
      <w:pPr>
        <w:jc w:val="both"/>
        <w:ind w:firstLine="186"/>
        <w:spacing w:after="0" w:line="266" w:lineRule="auto"/>
        <w:rPr>
          <w:sz w:val="20"/>
          <w:szCs w:val="20"/>
          <w:color w:val="auto"/>
        </w:rPr>
      </w:pPr>
      <w:r>
        <w:rPr>
          <w:rFonts w:ascii="Times New Roman" w:cs="Times New Roman" w:eastAsia="Times New Roman" w:hAnsi="Times New Roman"/>
          <w:sz w:val="18"/>
          <w:szCs w:val="18"/>
          <w:color w:val="auto"/>
        </w:rPr>
        <w:t>Ms. Sharpe’s experience as an executive and human resources professional for various global companies and her previous experience as a board member and compensation committee member of another publicly traded company, as well as her expertise in corporate governance, real estate, and legal matters, make her highly qualified to serve as a member of our Board of Directors and the chair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Steven Smith</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135" w:lineRule="exact"/>
        <w:rPr>
          <w:sz w:val="20"/>
          <w:szCs w:val="20"/>
          <w:color w:val="auto"/>
        </w:rPr>
      </w:pPr>
    </w:p>
    <w:p>
      <w:pPr>
        <w:jc w:val="both"/>
        <w:ind w:firstLine="182"/>
        <w:spacing w:after="0" w:line="236" w:lineRule="auto"/>
        <w:rPr>
          <w:sz w:val="20"/>
          <w:szCs w:val="20"/>
          <w:color w:val="auto"/>
        </w:rPr>
      </w:pPr>
      <w:r>
        <w:rPr>
          <w:rFonts w:ascii="Times New Roman" w:cs="Times New Roman" w:eastAsia="Times New Roman" w:hAnsi="Times New Roman"/>
          <w:sz w:val="18"/>
          <w:szCs w:val="18"/>
          <w:color w:val="auto"/>
        </w:rPr>
        <w:t>Mr. Smith, age 70, has served as a director since June 2013. Since June 2020, Mr. Smith has been practicing law as a solo practitioner at and is the owner of Steven R. Smith Law, LLC. From 2017 to 2020, Mr. Smith was a shareholder of the law firm of Baker Donelson. During 2003 to 2016, Mr. Smith practiced health law with the law firm of Ober, Kaler, Grimes &amp; Shriver (“Ober Kaler”) and was a shareholder and member of the firm’s Management Committee. Mr. Smith was the Managing Partner of the Washington, D.C. office of Ober Kaler prior to its merger with Baker Donelson in January 2017. He practices exclusively in the health care regulatory, operational and transactional areas where he counsels hospitals, physicians and other clients on a variety of issues including corporate governance, executive compensation and agreements; compliance, from both an operational and legal standpoint; medical staff relationships; and risk and claims management, insurance coverage and fiduciary responsibilities. Prior to joining Ober Kaler, Mr. Smith was Senior Vice-President and General Counsel for a large healthcare system in Maryland for 10 years where he was responsible for all legal matters, as well as various operations aspects, of the healthcare system. Mr. Smith is the uncle of Mr. Lipar, our Chief Executive Officer and Chairman of the Board. Mr. Smith is the chair of our Nominating and Corporate Governance Committee and is a member of our Audit Committee.</w:t>
      </w:r>
    </w:p>
    <w:p>
      <w:pPr>
        <w:spacing w:after="0" w:line="98" w:lineRule="exact"/>
        <w:rPr>
          <w:sz w:val="20"/>
          <w:szCs w:val="20"/>
          <w:color w:val="auto"/>
        </w:rPr>
      </w:pPr>
    </w:p>
    <w:p>
      <w:pPr>
        <w:jc w:val="both"/>
        <w:ind w:firstLine="184"/>
        <w:spacing w:after="0" w:line="261" w:lineRule="auto"/>
        <w:rPr>
          <w:sz w:val="20"/>
          <w:szCs w:val="20"/>
          <w:color w:val="auto"/>
        </w:rPr>
      </w:pPr>
      <w:r>
        <w:rPr>
          <w:rFonts w:ascii="Times New Roman" w:cs="Times New Roman" w:eastAsia="Times New Roman" w:hAnsi="Times New Roman"/>
          <w:sz w:val="18"/>
          <w:szCs w:val="18"/>
          <w:color w:val="auto"/>
        </w:rPr>
        <w:t>With his wealth of knowledge on issues relating to corporate governance, fiduciary responsibility, risk management, and experience providing counsel to boards of directors, Mr. Smith provides us with a unique perspective on issues affecting the Company. This expertise, combined with his leadership experience as a senior executive, enables Mr. Smith to be a valuable member of our Board of Directors, a member of our Audit Committee, and the chair of our Nominating and Corporate Governance Committee.</w:t>
      </w:r>
    </w:p>
    <w:p>
      <w:pPr>
        <w:spacing w:after="0" w:line="216" w:lineRule="exact"/>
        <w:rPr>
          <w:sz w:val="20"/>
          <w:szCs w:val="20"/>
          <w:color w:val="auto"/>
        </w:rPr>
      </w:pPr>
    </w:p>
    <w:p>
      <w:pPr>
        <w:ind w:left="6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Robert Vahradian</w:t>
      </w:r>
      <w:r>
        <w:rPr>
          <w:sz w:val="20"/>
          <w:szCs w:val="20"/>
          <w:color w:val="auto"/>
        </w:rPr>
        <w:tab/>
      </w:r>
      <w:r>
        <w:rPr>
          <w:rFonts w:ascii="Times New Roman" w:cs="Times New Roman" w:eastAsia="Times New Roman" w:hAnsi="Times New Roman"/>
          <w:sz w:val="17"/>
          <w:szCs w:val="17"/>
          <w:b w:val="1"/>
          <w:bCs w:val="1"/>
          <w:color w:val="auto"/>
        </w:rPr>
        <w:t>Director</w:t>
      </w:r>
    </w:p>
    <w:p>
      <w:pPr>
        <w:spacing w:after="0" w:line="256" w:lineRule="exact"/>
        <w:rPr>
          <w:sz w:val="20"/>
          <w:szCs w:val="20"/>
          <w:color w:val="auto"/>
        </w:rPr>
      </w:pPr>
    </w:p>
    <w:p>
      <w:pPr>
        <w:jc w:val="both"/>
        <w:ind w:firstLine="184"/>
        <w:spacing w:after="0" w:line="255" w:lineRule="auto"/>
        <w:rPr>
          <w:sz w:val="20"/>
          <w:szCs w:val="20"/>
          <w:color w:val="auto"/>
        </w:rPr>
      </w:pPr>
      <w:r>
        <w:rPr>
          <w:rFonts w:ascii="Times New Roman" w:cs="Times New Roman" w:eastAsia="Times New Roman" w:hAnsi="Times New Roman"/>
          <w:sz w:val="18"/>
          <w:szCs w:val="18"/>
          <w:color w:val="auto"/>
        </w:rPr>
        <w:t>Mr. Vahradian, age 64, has served as a director since June 2013. Since October 2006, Mr. Vahradian has been a Partner of GTIS Partners, LP (“GTIS”), a global real estate investment firm managing residential, industrial, office, hotel and mixed-use properties in the U.S. and Brazil. Mr. Vahradian runs the U.S. investment and asset management activities of GTIS, and is a member of the investment committee of GTIS. Mr. Vahradian joined GTIS in 2006 and has been in the real estate industry since 1986. Previously, Mr. Vahradian was President of Allied Partners, a private real estate investment company and was Chief Operating Officer and principal of The Athena Group, LLC, a residential investment and development company based in New York. Prior to joining The Athena Group, LLC, Mr. Vahradian was a Director in Credit Suisse First Boston’s real estate investment banking and principal groups. Mr. Vahradian is a member of our Nominating and Corporate Governance Committee.</w:t>
      </w:r>
    </w:p>
    <w:p>
      <w:pPr>
        <w:spacing w:after="0" w:line="81" w:lineRule="exact"/>
        <w:rPr>
          <w:sz w:val="20"/>
          <w:szCs w:val="20"/>
          <w:color w:val="auto"/>
        </w:rPr>
      </w:pPr>
    </w:p>
    <w:p>
      <w:pPr>
        <w:jc w:val="both"/>
        <w:ind w:firstLine="328"/>
        <w:spacing w:after="0" w:line="266" w:lineRule="auto"/>
        <w:rPr>
          <w:sz w:val="20"/>
          <w:szCs w:val="20"/>
          <w:color w:val="auto"/>
        </w:rPr>
      </w:pPr>
      <w:r>
        <w:rPr>
          <w:rFonts w:ascii="Times New Roman" w:cs="Times New Roman" w:eastAsia="Times New Roman" w:hAnsi="Times New Roman"/>
          <w:sz w:val="18"/>
          <w:szCs w:val="18"/>
          <w:color w:val="auto"/>
        </w:rPr>
        <w:t>Through Mr. Vahradian’s vast experience in real estate, residential land development, homebuilding and single-family rental investments, asset management and finance, he is exceptionally well qualified to serve as a member of our Board of Directors and our Nominating and Corporate Governance Committee and provides our Board of Directors with valuable insight on real estate and finance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08914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431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at the Annual Meeting. This means that the seven nominees receiving the highest number of affirmative FOR votes will be elected as directors. Withholding of authority to vote for a director nominee has no effect on the election of directors.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EACH OF THE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2—RATIFICATION OF APPOINTMENT OF THE INDEPENDENT REGISTERED PUBLIC ACCOUNTING FIRM</w:t>
      </w:r>
    </w:p>
    <w:p>
      <w:pPr>
        <w:spacing w:after="0" w:line="229" w:lineRule="exact"/>
        <w:rPr>
          <w:sz w:val="20"/>
          <w:szCs w:val="20"/>
          <w:color w:val="auto"/>
        </w:rPr>
      </w:pPr>
    </w:p>
    <w:p>
      <w:pPr>
        <w:jc w:val="both"/>
        <w:ind w:firstLine="197"/>
        <w:spacing w:after="0" w:line="254" w:lineRule="auto"/>
        <w:rPr>
          <w:sz w:val="20"/>
          <w:szCs w:val="20"/>
          <w:color w:val="auto"/>
        </w:rPr>
      </w:pPr>
      <w:r>
        <w:rPr>
          <w:rFonts w:ascii="Times New Roman" w:cs="Times New Roman" w:eastAsia="Times New Roman" w:hAnsi="Times New Roman"/>
          <w:sz w:val="18"/>
          <w:szCs w:val="18"/>
          <w:color w:val="auto"/>
        </w:rPr>
        <w:t>Ernst &amp; Young was the Company’s independent registered public accounting firm for the fiscal year ended December 31, 2025. At the Annual Meeting, our stockholders will be asked to ratify the appointment of Ernst &amp; Young as the Company’s independent registered public accounting firm for the fiscal year ending December 31, 2026, or until such firm’s earlier resignation or removal. While stockholder ratification of the appointment of the Company’s independent registered public accounting firm is not required, we value the opinions of our stockholders and believe that stockholder ratification of our appointment is a good corporate governance practice. If our stockholders fail to ratify the appointment, our Audit Committee may reconsider, but may decide to maintain, its appointment of Ernst &amp; Young. Even if the appointment of Ernst &amp; Young is ratified, our Audit Committee retains the discretion to select and appoint a different independent registered public accounting firm at any time if it determines that such a change would be in the best interests of the Company.</w:t>
      </w:r>
    </w:p>
    <w:p>
      <w:pPr>
        <w:spacing w:after="0" w:line="84" w:lineRule="exact"/>
        <w:rPr>
          <w:sz w:val="20"/>
          <w:szCs w:val="20"/>
          <w:color w:val="auto"/>
        </w:rPr>
      </w:pPr>
    </w:p>
    <w:p>
      <w:pPr>
        <w:jc w:val="both"/>
        <w:ind w:firstLine="220"/>
        <w:spacing w:after="0" w:line="282" w:lineRule="auto"/>
        <w:rPr>
          <w:sz w:val="20"/>
          <w:szCs w:val="20"/>
          <w:color w:val="auto"/>
        </w:rPr>
      </w:pPr>
      <w:r>
        <w:rPr>
          <w:rFonts w:ascii="Times New Roman" w:cs="Times New Roman" w:eastAsia="Times New Roman" w:hAnsi="Times New Roman"/>
          <w:sz w:val="18"/>
          <w:szCs w:val="18"/>
          <w:color w:val="auto"/>
        </w:rPr>
        <w:t>We have been advised that a representative of Ernst &amp; Young will be present at the Annual Meeting to answer appropriate questions and will have an opportunity to make a statement, if desired.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jc w:val="both"/>
        <w:ind w:right="20" w:firstLine="178"/>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or accrued by the Company for the audit and other services provided by Ernst &amp; Young for fiscal years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2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Audit Fees</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1,560,660</w:t>
            </w: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1,295,000</w:t>
            </w:r>
          </w:p>
        </w:tc>
      </w:tr>
      <w:tr>
        <w:trPr>
          <w:trHeight w:val="28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Audit-Related Fees</w:t>
            </w:r>
            <w:r>
              <w:rPr>
                <w:rFonts w:ascii="Times New Roman" w:cs="Times New Roman" w:eastAsia="Times New Roman" w:hAnsi="Times New Roman"/>
                <w:sz w:val="16"/>
                <w:szCs w:val="16"/>
                <w:color w:val="auto"/>
              </w:rPr>
              <w:t>- aggregate fees for audit-related services</w:t>
            </w:r>
          </w:p>
        </w:tc>
        <w:tc>
          <w:tcPr>
            <w:tcW w:w="36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Fees</w:t>
            </w:r>
          </w:p>
        </w:tc>
        <w:tc>
          <w:tcPr>
            <w:tcW w:w="3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All Other Fees </w:t>
            </w:r>
            <w:r>
              <w:rPr>
                <w:rFonts w:ascii="Times New Roman" w:cs="Times New Roman" w:eastAsia="Times New Roman" w:hAnsi="Times New Roman"/>
                <w:sz w:val="16"/>
                <w:szCs w:val="16"/>
                <w:color w:val="auto"/>
              </w:rPr>
              <w:t>- aggregate fees for all other services</w:t>
            </w:r>
          </w:p>
        </w:tc>
        <w:tc>
          <w:tcPr>
            <w:tcW w:w="36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1,560,660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1,295,000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00" w:hanging="330"/>
        <w:spacing w:after="0" w:line="280"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include the annual audit and services related to the review of quarterly financial information and the issuance of consents and comfort letters to underwriters and other purchasers of our securities in connection with various securities offerings and filings with the SEC.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w:t>
      </w:r>
    </w:p>
    <w:p>
      <w:pPr>
        <w:spacing w:after="0" w:line="121" w:lineRule="exact"/>
        <w:rPr>
          <w:sz w:val="20"/>
          <w:szCs w:val="20"/>
          <w:color w:val="auto"/>
        </w:rPr>
      </w:pPr>
    </w:p>
    <w:p>
      <w:pPr>
        <w:jc w:val="both"/>
        <w:ind w:firstLine="190"/>
        <w:spacing w:after="0" w:line="266" w:lineRule="auto"/>
        <w:rPr>
          <w:sz w:val="20"/>
          <w:szCs w:val="20"/>
          <w:color w:val="auto"/>
        </w:rPr>
      </w:pPr>
      <w:r>
        <w:rPr>
          <w:rFonts w:ascii="Times New Roman" w:cs="Times New Roman" w:eastAsia="Times New Roman" w:hAnsi="Times New Roman"/>
          <w:sz w:val="18"/>
          <w:szCs w:val="18"/>
          <w:color w:val="auto"/>
        </w:rPr>
        <w:t>It is our Audit Committee’s policy to pre-approve all audit, audit related and permissible non-audit services rendered to us by our independent registered public accounting firm. Consistent with such policy, all of the fees listed above that we incurred for services rendered by Ernst &amp; Young were pre-approved by our Audit Committee.</w:t>
      </w:r>
    </w:p>
    <w:p>
      <w:pPr>
        <w:spacing w:after="0" w:line="68" w:lineRule="exact"/>
        <w:rPr>
          <w:sz w:val="20"/>
          <w:szCs w:val="20"/>
          <w:color w:val="auto"/>
        </w:rPr>
      </w:pPr>
    </w:p>
    <w:p>
      <w:pPr>
        <w:jc w:val="both"/>
        <w:ind w:firstLine="252"/>
        <w:spacing w:after="0" w:line="256" w:lineRule="auto"/>
        <w:rPr>
          <w:sz w:val="20"/>
          <w:szCs w:val="20"/>
          <w:color w:val="auto"/>
        </w:rPr>
      </w:pPr>
      <w:r>
        <w:rPr>
          <w:rFonts w:ascii="Times New Roman" w:cs="Times New Roman" w:eastAsia="Times New Roman" w:hAnsi="Times New Roman"/>
          <w:sz w:val="18"/>
          <w:szCs w:val="18"/>
          <w:color w:val="auto"/>
        </w:rPr>
        <w:t>The report of Ernst &amp; Young relating to our 2025 and 2024 consolidated financial statements did not contain an adverse opinion or a disclaimer of opinion, and was not qualified or modified as to uncertainty, audit scope or accounting principles. Moreover, during the fiscal years ended December 31, 2025 and 2024, there were no (i) disagreements with Ernst &amp; Young on any matter of accounting principles or practices, financial statement disclosure or auditing scope or procedure, which disagreement(s), if not resolved to the satisfaction of Ernst &amp; Young, would have caused either Ernst &amp; Young to make reference to the subject matter of the disagreement(s) in connection with their reports on the consolidated financial statements of LGI Homes, Inc. or (ii) reportable events (as defined in Item 304(a)(1)(v) of Regulation 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231F20"/>
        </w:rPr>
        <w:t>The Audit Committee meets the definition of an audit committee as set forth in the Securities Exchange Act of 1934, as amended (the “Exchange Act”), and operates under a written charter adopted by the Board. Each member of the Audit Committee is independent and financially literate in the judgment of the Board and as required by the Sarbanes-Oxley Act and applicable SEC and NASDAQ rules. The Board has also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determined that Mr. Edone and Ms. Parikh qualify as “audit committee financial experts,” as defined under SEC regulations.</w:t>
      </w:r>
    </w:p>
    <w:p>
      <w:pPr>
        <w:spacing w:after="0" w:line="117" w:lineRule="exact"/>
        <w:rPr>
          <w:sz w:val="20"/>
          <w:szCs w:val="20"/>
          <w:color w:val="auto"/>
        </w:rPr>
      </w:pPr>
    </w:p>
    <w:p>
      <w:pPr>
        <w:jc w:val="both"/>
        <w:ind w:firstLine="281"/>
        <w:spacing w:after="0" w:line="261" w:lineRule="auto"/>
        <w:rPr>
          <w:sz w:val="20"/>
          <w:szCs w:val="20"/>
          <w:color w:val="auto"/>
        </w:rPr>
      </w:pPr>
      <w:r>
        <w:rPr>
          <w:rFonts w:ascii="Times New Roman" w:cs="Times New Roman" w:eastAsia="Times New Roman" w:hAnsi="Times New Roman"/>
          <w:sz w:val="18"/>
          <w:szCs w:val="18"/>
          <w:color w:val="231F20"/>
        </w:rPr>
        <w:t>Management is responsible for our internal controls and the financial reporting process. The Audit Committee is responsible for the appointment, compensation, and oversight of the Company’s independent registered public accounting firm. Ernst &amp; Young, the Company’s independent registered public accounting firm, is responsible for performing an independent audit of the Company’s consolidated financial statements and internal controls in accordance with standards of the Public Company Accounting Oversight Board (the “PCAOB”) and for issuing reports thereon.</w:t>
      </w:r>
    </w:p>
    <w:p>
      <w:pPr>
        <w:spacing w:after="0" w:line="72" w:lineRule="exact"/>
        <w:rPr>
          <w:sz w:val="20"/>
          <w:szCs w:val="20"/>
          <w:color w:val="auto"/>
        </w:rPr>
      </w:pPr>
    </w:p>
    <w:p>
      <w:pPr>
        <w:jc w:val="both"/>
        <w:ind w:firstLine="21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the Company’s audited consolidated financial statements for the fiscal year ended December 31, 2025. Further, the Audit Committee has discussed with Ernst &amp; Young the matters required to be discussed by Auditing Standard No. 16, Communications with Audit Committees, including the Company’s audited consolidated financial statements for the fiscal year ended December 31, 2025, the Company’s independent registered public accounting firm’s responsibility under generally accepted auditing standards, significant accounting policies, management’s judgments and accounting estimates, any audit adjustments, related party transactions and other unusual transactions, other information in documents containing audited financial statements and other matters.</w:t>
      </w:r>
    </w:p>
    <w:p>
      <w:pPr>
        <w:spacing w:after="0" w:line="79" w:lineRule="exact"/>
        <w:rPr>
          <w:sz w:val="20"/>
          <w:szCs w:val="20"/>
          <w:color w:val="auto"/>
        </w:rPr>
      </w:pPr>
    </w:p>
    <w:p>
      <w:pPr>
        <w:jc w:val="both"/>
        <w:ind w:firstLine="196"/>
        <w:spacing w:after="0" w:line="266" w:lineRule="auto"/>
        <w:rPr>
          <w:sz w:val="20"/>
          <w:szCs w:val="20"/>
          <w:color w:val="auto"/>
        </w:rPr>
      </w:pPr>
      <w:r>
        <w:rPr>
          <w:rFonts w:ascii="Times New Roman" w:cs="Times New Roman" w:eastAsia="Times New Roman" w:hAnsi="Times New Roman"/>
          <w:sz w:val="18"/>
          <w:szCs w:val="18"/>
          <w:color w:val="auto"/>
        </w:rPr>
        <w:t>Finally, the Audit Committee has received and reviewed the written disclosures and the letter from Ernst &amp; Young by the applicable requirements of the PCAOB regarding Ernst &amp; Young’s communications with the Audit Committee concerning independence, and has discussed the topic of independence with Ernst &amp; Young.</w:t>
      </w:r>
    </w:p>
    <w:p>
      <w:pPr>
        <w:spacing w:after="0" w:line="68" w:lineRule="exact"/>
        <w:rPr>
          <w:sz w:val="20"/>
          <w:szCs w:val="20"/>
          <w:color w:val="auto"/>
        </w:rPr>
      </w:pPr>
    </w:p>
    <w:p>
      <w:pPr>
        <w:jc w:val="both"/>
        <w:ind w:firstLine="288"/>
        <w:spacing w:after="0" w:line="266" w:lineRule="auto"/>
        <w:rPr>
          <w:sz w:val="20"/>
          <w:szCs w:val="20"/>
          <w:color w:val="auto"/>
        </w:rPr>
      </w:pPr>
      <w:r>
        <w:rPr>
          <w:rFonts w:ascii="Times New Roman" w:cs="Times New Roman" w:eastAsia="Times New Roman" w:hAnsi="Times New Roman"/>
          <w:sz w:val="18"/>
          <w:szCs w:val="18"/>
          <w:color w:val="auto"/>
        </w:rPr>
        <w:t>Based on its review and discussion described above, the Audit Committee has recommended to the Board that the audited consolidated financial statements for the fiscal year ended December 31, 2025 be included in the Company’s Annual Report on Form 10-K for the fiscal year ended December 31, 2025 for filing with the SEC.</w:t>
      </w:r>
    </w:p>
    <w:p>
      <w:pPr>
        <w:spacing w:after="0" w:line="11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Ryan Edone (Chair)</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Shailee Parikh</w:t>
      </w:r>
    </w:p>
    <w:p>
      <w:pPr>
        <w:spacing w:after="0" w:line="3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6"/>
          <w:szCs w:val="16"/>
          <w:color w:val="auto"/>
        </w:rPr>
        <w:t>Steven Smith</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report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08914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431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shares of our common stock entitled to vote on the matter which are present in person or by proxy at the Annual Meeting is required to ratify the appointment of Ernst &amp; Young as the Company’s independent registered public accounting firm for the fiscal year ending December 31, 2026. Abstentions will be counted toward the tabulation of the shares of our common stock entitled to vote on the matter and thus will have the same effect as a negative vote on the ratification of the appointment of Ernst &amp; Young.</w:t>
      </w:r>
    </w:p>
    <w:p>
      <w:pPr>
        <w:spacing w:after="0" w:line="6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ERNST &amp; YOUNG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057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3—ADVISORY VOTE ON THE COMPENSATION PAID TO NAMED EXECUTIVE OFFICERS (SAY-ON-PAY VOTE)</w:t>
      </w:r>
    </w:p>
    <w:p>
      <w:pPr>
        <w:spacing w:after="0" w:line="121" w:lineRule="exact"/>
        <w:rPr>
          <w:sz w:val="20"/>
          <w:szCs w:val="20"/>
          <w:color w:val="auto"/>
        </w:rPr>
      </w:pPr>
    </w:p>
    <w:p>
      <w:pPr>
        <w:jc w:val="both"/>
        <w:ind w:firstLine="274"/>
        <w:spacing w:after="0" w:line="261" w:lineRule="auto"/>
        <w:rPr>
          <w:sz w:val="20"/>
          <w:szCs w:val="20"/>
          <w:color w:val="auto"/>
        </w:rPr>
      </w:pPr>
      <w:r>
        <w:rPr>
          <w:rFonts w:ascii="Times New Roman" w:cs="Times New Roman" w:eastAsia="Times New Roman" w:hAnsi="Times New Roman"/>
          <w:sz w:val="18"/>
          <w:szCs w:val="18"/>
          <w:color w:val="auto"/>
        </w:rPr>
        <w:t>LGI seeks a non-binding advisory vote from its stockholders to approve the compensation paid to our NEOs for 2025, as disclosed in this Proxy Statement pursuant to Item 402 of Regulation S-K, including the Compensation Discussion and Analysis, compensation tables and narrative discussion. This vote is commonly referred to as the “Say-on-Pay” vote. In accordance with the requirements of the SEC, we are providing our stockholders with an opportunity to express their views on the compensation paid to our NEOs.</w:t>
      </w:r>
    </w:p>
    <w:p>
      <w:pPr>
        <w:spacing w:after="0" w:line="72" w:lineRule="exact"/>
        <w:rPr>
          <w:sz w:val="20"/>
          <w:szCs w:val="20"/>
          <w:color w:val="auto"/>
        </w:rPr>
      </w:pPr>
    </w:p>
    <w:p>
      <w:pPr>
        <w:jc w:val="both"/>
        <w:ind w:firstLine="332"/>
        <w:spacing w:after="0" w:line="266" w:lineRule="auto"/>
        <w:rPr>
          <w:sz w:val="20"/>
          <w:szCs w:val="20"/>
          <w:color w:val="auto"/>
        </w:rPr>
      </w:pPr>
      <w:r>
        <w:rPr>
          <w:rFonts w:ascii="Times New Roman" w:cs="Times New Roman" w:eastAsia="Times New Roman" w:hAnsi="Times New Roman"/>
          <w:sz w:val="18"/>
          <w:szCs w:val="18"/>
          <w:color w:val="auto"/>
        </w:rPr>
        <w:t>The Company’s core compensation philosophy is to utilize a mixture of base salary and annual and longer-term incentives to align executive compensation with our stockholders’ interests and our annual and long-term performance. This includes linking executives’ pay to their performance and the Company’s overall annual and long-term performance.</w:t>
      </w:r>
    </w:p>
    <w:p>
      <w:pPr>
        <w:spacing w:after="0" w:line="6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Board and the Compensation Committee are dedicated to ensuring that our executive compensation programs reflect best practices in numerous ways, including by making a portion of compensation performance-based to maximize both short- and long-term stockholder value. The Board believes the Company’s compensation programs are well tailored to align executive officers’ interest with those of our stockholders, retain executive talent, and reward performance. We encourage our stockholders to read the “Compensation Discussion and Analysis” section in this Proxy Statement, which describes (i) the processes our Compensation Committee used to determine the structure and amounts of the compensation of our NEOs for 2025 and (ii) how our executive compensation philosophy, policies, and procedures operate and are designed to achieve our compensation objectives. The Compensation Committee and the Board believe that our executive compensation strikes the appropriate balance between utilizing responsible, measured pay practices and effectively incentivizing our NEOs to dedicate themselves to value creation for our stockholders.</w:t>
      </w:r>
    </w:p>
    <w:p>
      <w:pPr>
        <w:spacing w:after="0" w:line="84" w:lineRule="exact"/>
        <w:rPr>
          <w:sz w:val="20"/>
          <w:szCs w:val="20"/>
          <w:color w:val="auto"/>
        </w:rPr>
      </w:pPr>
    </w:p>
    <w:p>
      <w:pPr>
        <w:ind w:right="760" w:firstLine="180"/>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we are asking our stockholders to approve the following resolution regarding the compensation of our NEOs:</w:t>
      </w:r>
    </w:p>
    <w:p>
      <w:pPr>
        <w:spacing w:after="0" w:line="175" w:lineRule="exact"/>
        <w:rPr>
          <w:sz w:val="20"/>
          <w:szCs w:val="20"/>
          <w:color w:val="auto"/>
        </w:rPr>
      </w:pPr>
    </w:p>
    <w:p>
      <w:pPr>
        <w:jc w:val="both"/>
        <w:ind w:left="660" w:right="320"/>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LGI Homes, Inc. (the “Company”) hereby approve, on an advisory basis, the compensation paid to the Company’s named executive officers, as disclosed in the proxy statement for the Company’s 2026 Annual Meeting of Stockholders pursuant to the compensation disclosure rules of the Securities and Exchange Commission, including the Compensation Discussion and Analysis, compensation tables and narrative discussion.</w:t>
      </w:r>
    </w:p>
    <w:p>
      <w:pPr>
        <w:spacing w:after="0" w:line="180" w:lineRule="exact"/>
        <w:rPr>
          <w:sz w:val="20"/>
          <w:szCs w:val="20"/>
          <w:color w:val="auto"/>
        </w:rPr>
      </w:pPr>
    </w:p>
    <w:p>
      <w:pPr>
        <w:jc w:val="both"/>
        <w:ind w:right="20" w:firstLine="181"/>
        <w:spacing w:after="0" w:line="282" w:lineRule="auto"/>
        <w:rPr>
          <w:sz w:val="20"/>
          <w:szCs w:val="20"/>
          <w:color w:val="auto"/>
        </w:rPr>
      </w:pPr>
      <w:r>
        <w:rPr>
          <w:rFonts w:ascii="Times New Roman" w:cs="Times New Roman" w:eastAsia="Times New Roman" w:hAnsi="Times New Roman"/>
          <w:sz w:val="18"/>
          <w:szCs w:val="18"/>
          <w:color w:val="auto"/>
        </w:rPr>
        <w:t>Although this advisory vote is non-binding, the Board and the Compensation Committee will review and consider the voting results when making future decisions regarding our NEOs’ compensation and related executive compensation programs.</w:t>
      </w:r>
    </w:p>
    <w:p>
      <w:pPr>
        <w:spacing w:after="0" w:line="189" w:lineRule="exact"/>
        <w:rPr>
          <w:sz w:val="20"/>
          <w:szCs w:val="20"/>
          <w:color w:val="auto"/>
        </w:rPr>
      </w:pPr>
    </w:p>
    <w:p>
      <w:pPr>
        <w:jc w:val="both"/>
        <w:ind w:firstLine="267"/>
        <w:spacing w:after="0" w:line="258" w:lineRule="auto"/>
        <w:rPr>
          <w:sz w:val="20"/>
          <w:szCs w:val="20"/>
          <w:color w:val="auto"/>
        </w:rPr>
      </w:pPr>
      <w:r>
        <w:rPr>
          <w:rFonts w:ascii="Times New Roman" w:cs="Times New Roman" w:eastAsia="Times New Roman" w:hAnsi="Times New Roman"/>
          <w:sz w:val="18"/>
          <w:szCs w:val="18"/>
          <w:color w:val="auto"/>
        </w:rPr>
        <w:t>At our 2024 annual meeting of stockholders, we conducted a non-binding advisory vote on the frequency of future stockholder advisory votes on executive compensation. In light of the results of such advisory vote, our Board of Directors determined that we will hold a non-binding advisory vote on executive compensation every year until we next hold a non-binding advisory vote on the frequency of future stockholder advisory votes on executive compensation at our 2030 annual meeting of stockholders as required under SEC rules. We expect to hold the next advisory vote on executive compensation at our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140575"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shares of our common stock entitled to vote on the matter which are present in person or by proxy at the Annual Meeting is required to approve the compensation of our NEOs for 2025, as described in this Proposal 3. Abstentions will be counted toward the tabulation of the shares of our common stock entitled to vote on the matter and thus will have the same effect as a negative vote on the approval of the compensation paid to the NEOs for 2025.</w:t>
      </w:r>
    </w:p>
    <w:p>
      <w:pPr>
        <w:spacing w:after="0" w:line="6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ON AN ADVISORY BASIS, OF THE COMPENSATION PAID TO OUR NEOs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0575"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39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34" w:lineRule="exact"/>
        <w:rPr>
          <w:sz w:val="20"/>
          <w:szCs w:val="20"/>
          <w:color w:val="auto"/>
        </w:rPr>
      </w:pPr>
    </w:p>
    <w:p>
      <w:pPr>
        <w:ind w:right="4900"/>
        <w:spacing w:after="0" w:line="409" w:lineRule="auto"/>
        <w:rPr>
          <w:sz w:val="20"/>
          <w:szCs w:val="20"/>
          <w:color w:val="auto"/>
        </w:rPr>
      </w:pPr>
      <w:r>
        <w:rPr>
          <w:rFonts w:ascii="Times New Roman" w:cs="Times New Roman" w:eastAsia="Times New Roman" w:hAnsi="Times New Roman"/>
          <w:sz w:val="18"/>
          <w:szCs w:val="18"/>
          <w:b w:val="1"/>
          <w:bCs w:val="1"/>
          <w:color w:val="auto"/>
        </w:rPr>
        <w:t>CORPORATE GOVERNANCE MATTERS AND DIRECTOR INDEPENDENCE Corporate Governance Guidelines</w:t>
      </w:r>
    </w:p>
    <w:p>
      <w:pPr>
        <w:spacing w:after="0" w:line="1" w:lineRule="exact"/>
        <w:rPr>
          <w:sz w:val="20"/>
          <w:szCs w:val="20"/>
          <w:color w:val="auto"/>
        </w:rPr>
      </w:pPr>
    </w:p>
    <w:p>
      <w:pPr>
        <w:jc w:val="both"/>
        <w:ind w:firstLine="218"/>
        <w:spacing w:after="0" w:line="258" w:lineRule="auto"/>
        <w:rPr>
          <w:sz w:val="20"/>
          <w:szCs w:val="20"/>
          <w:color w:val="auto"/>
        </w:rPr>
      </w:pPr>
      <w:r>
        <w:rPr>
          <w:rFonts w:ascii="Times New Roman" w:cs="Times New Roman" w:eastAsia="Times New Roman" w:hAnsi="Times New Roman"/>
          <w:sz w:val="18"/>
          <w:szCs w:val="18"/>
          <w:color w:val="auto"/>
        </w:rPr>
        <w:t xml:space="preserve">The Board has adopted the LGI Homes, Inc.’s Corporate Governance Guidelines, which describe the Board’s view on a number of governance topics. The Corporate Governance Guidelines, along with the charters of the Board committees and the Company’s Code of Business Conduct and Ethics, provide the framework for the corporate governance of the Company. The significant corporate governance initiatives adopted by the Board are discussed below. Our Corporate Governance Guidelines can be found under the “Investor Relations” and “Corporate Governance” links on our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121" w:lineRule="exact"/>
        <w:rPr>
          <w:sz w:val="20"/>
          <w:szCs w:val="20"/>
          <w:color w:val="auto"/>
        </w:rPr>
      </w:pPr>
    </w:p>
    <w:p>
      <w:pPr>
        <w:jc w:val="both"/>
        <w:ind w:firstLine="202"/>
        <w:spacing w:after="0" w:line="261" w:lineRule="auto"/>
        <w:rPr>
          <w:sz w:val="20"/>
          <w:szCs w:val="20"/>
          <w:color w:val="auto"/>
        </w:rPr>
      </w:pPr>
      <w:r>
        <w:rPr>
          <w:rFonts w:ascii="Times New Roman" w:cs="Times New Roman" w:eastAsia="Times New Roman" w:hAnsi="Times New Roman"/>
          <w:sz w:val="18"/>
          <w:szCs w:val="18"/>
          <w:color w:val="auto"/>
        </w:rPr>
        <w:t>Our Board currently consists of seven members. Our Certificate of Incorporation provides that the authorized number of directors may be changed only by resolution of the Board. Our directors hold office until their successors have been elected or appointed and qualified, or the earlier of their death, resignation or removal. Vacancies on the Board are filled solely by the affirmative vote of a majority of the remaining directors then in office, and not by our stockholders. Each of our directors is elected annually.</w:t>
      </w:r>
    </w:p>
    <w:p>
      <w:pPr>
        <w:spacing w:after="0" w:line="72" w:lineRule="exact"/>
        <w:rPr>
          <w:sz w:val="20"/>
          <w:szCs w:val="20"/>
          <w:color w:val="auto"/>
        </w:rPr>
      </w:pPr>
    </w:p>
    <w:p>
      <w:pPr>
        <w:jc w:val="both"/>
        <w:ind w:firstLine="206"/>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the annual assessment of the composition of our Board, including a review of the size of the Board, the skills and qualifications represented on the Board, and a self-assessment of the effectiveness of our Board and its committees and identification of any opportunities for improvement. The findings of the annual review of the Board and its committees are reported to and discussed with the full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and Evaluation of Director Candidates</w:t>
      </w:r>
    </w:p>
    <w:p>
      <w:pPr>
        <w:spacing w:after="0" w:line="121" w:lineRule="exact"/>
        <w:rPr>
          <w:sz w:val="20"/>
          <w:szCs w:val="20"/>
          <w:color w:val="auto"/>
        </w:rPr>
      </w:pPr>
    </w:p>
    <w:p>
      <w:pPr>
        <w:jc w:val="both"/>
        <w:ind w:firstLine="19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searching for qualified director candidates for election to the Board and filling vacancies on the Board. To facilitate the search process, the Nominating and Corporate Governance Committee may solicit current directors and executive officers of the Company for the names of potentially qualified candidates or ask directors and executive officers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Consistent with prior searches, the Nominating and Corporate Governance Committee will endeavor to identify a diverse slate of potential candidates, including diversity in skills, experience, age, tenure, race, ethnicity and gender, among other factors.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director.</w:t>
      </w:r>
    </w:p>
    <w:p>
      <w:pPr>
        <w:spacing w:after="0" w:line="86" w:lineRule="exact"/>
        <w:rPr>
          <w:sz w:val="20"/>
          <w:szCs w:val="20"/>
          <w:color w:val="auto"/>
        </w:rPr>
      </w:pPr>
    </w:p>
    <w:p>
      <w:pPr>
        <w:jc w:val="both"/>
        <w:ind w:firstLine="203"/>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reviewing with our Board, on an annual basis, the appropriate characteristics, skills and experience required for the Board as a whole and its individual members. In evaluating the suitability of individual candidates (both new candidates and current members) and in recommending candidates for election, the Nominating and Corporate Governance Committee will consider the individual’s experience and characteristics. In addition, the Nominating and Corporate Governance Committee will review the overall composition of the Board to ensure there is an appropriate mix of specific experience, qualifications and skills to promote a diversity of points of view for the effective performance of the Board’s oversight function and representation of stockholders’ interests.</w:t>
      </w:r>
    </w:p>
    <w:p>
      <w:pPr>
        <w:spacing w:after="0" w:line="79" w:lineRule="exact"/>
        <w:rPr>
          <w:sz w:val="20"/>
          <w:szCs w:val="20"/>
          <w:color w:val="auto"/>
        </w:rPr>
      </w:pPr>
    </w:p>
    <w:p>
      <w:pPr>
        <w:jc w:val="both"/>
        <w:ind w:right="20" w:firstLine="305"/>
        <w:spacing w:after="0" w:line="282" w:lineRule="auto"/>
        <w:rPr>
          <w:sz w:val="20"/>
          <w:szCs w:val="20"/>
          <w:color w:val="auto"/>
        </w:rPr>
      </w:pPr>
      <w:r>
        <w:rPr>
          <w:rFonts w:ascii="Times New Roman" w:cs="Times New Roman" w:eastAsia="Times New Roman" w:hAnsi="Times New Roman"/>
          <w:sz w:val="18"/>
          <w:szCs w:val="18"/>
          <w:color w:val="auto"/>
        </w:rPr>
        <w:t>We believe that appropriate director qualifications and characteristics include having directors with diverse backgrounds, education, experiences, expertise and perspectives. These qualifications and characteristics are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Qualifications and Experiences</w:t>
      </w:r>
    </w:p>
    <w:p>
      <w:pPr>
        <w:spacing w:after="0" w:line="121"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executive officer or other leadership role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a publicly held company;</w:t>
      </w:r>
    </w:p>
    <w:p>
      <w:pPr>
        <w:spacing w:after="0" w:line="117"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director of another publicly held company;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industry expertise, including homebuilding, land development, sales, marketing and operations;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accounting, finance, capital markets transactions and/or technology;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regulatory, human resources and/or risk management expertise;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cybersecurity expertise.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Characteristics</w:t>
      </w:r>
    </w:p>
    <w:p>
      <w:pPr>
        <w:spacing w:after="0" w:line="121"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personal and professional ethical standards, integrity and values;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leadership skills and solid business judgment;</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representing the long-term interests of our stockholders; and</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required for preparation, participation and attendance at Board meetings and committee meetings, as applicable.</w:t>
      </w:r>
    </w:p>
    <w:p>
      <w:pPr>
        <w:spacing w:after="0" w:line="117"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Director candidates recommended by our stockholders will be considered in the same manner as recommendations made by directors, executive officers, outside advisors or search firms. Any stockholder who intends to recommend a candidate to the Nominating and Corporate Governance Committee for consideration as a director nominee should deliver written notice pursuant to Article III, Section 3.1(a) of our Bylaws, to the Secretary of the Company. Any such notice should be delivered by the date required by such section of the Bylaws in order to permit the Nominating and Corporate Governance Committee to complete its review in a timely fashion.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Tenure and Retirement Policy</w:t>
      </w:r>
    </w:p>
    <w:p>
      <w:pPr>
        <w:spacing w:after="0" w:line="121" w:lineRule="exact"/>
        <w:rPr>
          <w:sz w:val="20"/>
          <w:szCs w:val="20"/>
          <w:color w:val="auto"/>
        </w:rPr>
      </w:pPr>
    </w:p>
    <w:p>
      <w:pPr>
        <w:jc w:val="both"/>
        <w:ind w:firstLine="192"/>
        <w:spacing w:after="0" w:line="266" w:lineRule="auto"/>
        <w:rPr>
          <w:sz w:val="20"/>
          <w:szCs w:val="20"/>
          <w:color w:val="auto"/>
        </w:rPr>
      </w:pPr>
      <w:r>
        <w:rPr>
          <w:rFonts w:ascii="Times New Roman" w:cs="Times New Roman" w:eastAsia="Times New Roman" w:hAnsi="Times New Roman"/>
          <w:sz w:val="18"/>
          <w:szCs w:val="18"/>
          <w:color w:val="auto"/>
        </w:rPr>
        <w:t>Because of the value the Board places on having directors who are knowledgeable about the Company and its operations, there have been no term limits established for directors. In connection with each director nomination recommendation, the Nominating and Corporate Governance Committee shall consider the issue of continuing director tenure.</w:t>
      </w:r>
    </w:p>
    <w:p>
      <w:pPr>
        <w:spacing w:after="0" w:line="68"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8"/>
          <w:szCs w:val="18"/>
          <w:color w:val="auto"/>
        </w:rPr>
        <w:t>Additionally, the Board has determined not to establish a mandatory retirement age for directors. Alternatively, in connection with the director nomination recommendations, the Nominating and Corporate Governance Committee and the Board will review each director’s continuation on the Board upon reaching the age of 73 and each year thereafter.</w:t>
      </w:r>
    </w:p>
    <w:p>
      <w:pPr>
        <w:spacing w:after="0" w:line="68" w:lineRule="exact"/>
        <w:rPr>
          <w:sz w:val="20"/>
          <w:szCs w:val="20"/>
          <w:color w:val="auto"/>
        </w:rPr>
      </w:pPr>
    </w:p>
    <w:p>
      <w:pPr>
        <w:jc w:val="both"/>
        <w:ind w:firstLine="210"/>
        <w:spacing w:after="0" w:line="256" w:lineRule="auto"/>
        <w:rPr>
          <w:sz w:val="20"/>
          <w:szCs w:val="20"/>
          <w:color w:val="auto"/>
        </w:rPr>
      </w:pPr>
      <w:r>
        <w:rPr>
          <w:rFonts w:ascii="Times New Roman" w:cs="Times New Roman" w:eastAsia="Times New Roman" w:hAnsi="Times New Roman"/>
          <w:sz w:val="18"/>
          <w:szCs w:val="18"/>
          <w:color w:val="auto"/>
        </w:rPr>
        <w:t>To ensure that directors may appropriately discharge their responsibilities, the Board has adopted the policy that any director (including a management director) who (i) has a significant change in business affiliation or position of principal employment or (ii) experiences a disabling health condition that, in each case, adversely affects his or her ability to perform the essential functions and responsibilities of a director will be expected to tender his or her resignation promptly to the Board. The Nominating and Corporate Governance Committee will make a recommendation to the Board on whether to accept or reject the resignation, taking into consideration the effect of such change in employment on the director’s qualification to serve as one of the Company’s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firstLine="263"/>
        <w:spacing w:after="0" w:line="282" w:lineRule="auto"/>
        <w:rPr>
          <w:sz w:val="20"/>
          <w:szCs w:val="20"/>
          <w:color w:val="auto"/>
        </w:rPr>
      </w:pPr>
      <w:r>
        <w:rPr>
          <w:rFonts w:ascii="Times New Roman" w:cs="Times New Roman" w:eastAsia="Times New Roman" w:hAnsi="Times New Roman"/>
          <w:sz w:val="18"/>
          <w:szCs w:val="18"/>
          <w:color w:val="auto"/>
        </w:rPr>
        <w:t>In accordance with our Bylaws, the election of directors requires the approval of a plurality of the votes cast. This means that the seven nominees receiving the highest number of affirmative FOR votes will be elected as directors.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believes that the plurality voting standard continues to be in the best interests of the Company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192"/>
        <w:spacing w:after="0" w:line="258" w:lineRule="auto"/>
        <w:rPr>
          <w:sz w:val="20"/>
          <w:szCs w:val="20"/>
          <w:color w:val="auto"/>
        </w:rPr>
      </w:pPr>
      <w:r>
        <w:rPr>
          <w:rFonts w:ascii="Times New Roman" w:cs="Times New Roman" w:eastAsia="Times New Roman" w:hAnsi="Times New Roman"/>
          <w:sz w:val="18"/>
          <w:szCs w:val="18"/>
          <w:color w:val="auto"/>
        </w:rPr>
        <w:t>Our Board is composed of a majority of independent directors in accordance with the NASDAQ listing requirements. All members of our Board, except Mr. Lipar, have been determined by the Board to be independent. In making this determination, the Board has affirmed that each of the independent directors meets the objective requirements for independence set forth by the NASDAQ listing requirements. The independent directors are Ryan Edone, Shailee Parikh, Bryan Sansbury, Maria Sharpe, Steven Smith, and Robert Vahradian. Mr. Lipar is not independent because he serves as our Chief Executive Officer.</w:t>
      </w:r>
    </w:p>
    <w:p>
      <w:pPr>
        <w:spacing w:after="0" w:line="75" w:lineRule="exact"/>
        <w:rPr>
          <w:sz w:val="20"/>
          <w:szCs w:val="20"/>
          <w:color w:val="auto"/>
        </w:rPr>
      </w:pPr>
    </w:p>
    <w:p>
      <w:pPr>
        <w:jc w:val="both"/>
        <w:ind w:firstLine="329"/>
        <w:spacing w:after="0" w:line="266" w:lineRule="auto"/>
        <w:rPr>
          <w:sz w:val="20"/>
          <w:szCs w:val="20"/>
          <w:color w:val="auto"/>
        </w:rPr>
      </w:pPr>
      <w:r>
        <w:rPr>
          <w:rFonts w:ascii="Times New Roman" w:cs="Times New Roman" w:eastAsia="Times New Roman" w:hAnsi="Times New Roman"/>
          <w:sz w:val="18"/>
          <w:szCs w:val="18"/>
          <w:color w:val="auto"/>
        </w:rPr>
        <w:t>The Independence Standards included in the NASDAQ listing requirements specify the criteria by which the independence of our directors is determined, including strict guidelines for directors and their immediate family members with respect to past employment or affiliation with the Company, its management or its independent registered public accounting firm.</w:t>
      </w:r>
    </w:p>
    <w:p>
      <w:pPr>
        <w:spacing w:after="0" w:line="68"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8"/>
          <w:szCs w:val="18"/>
          <w:color w:val="auto"/>
        </w:rPr>
        <w:t>In evaluating and determining the independence of the directors, the Board considered that the Company may have certain relationships with its directors. Specifically, the Board considered that Mr. Smith is the uncle of Mr. Eric Lipar, our Chief Executive Officer and Chairman of the Board. The Board determined that this relationship does not impair Mr. Smith’s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firstLine="233"/>
        <w:spacing w:after="0" w:line="261" w:lineRule="auto"/>
        <w:rPr>
          <w:sz w:val="20"/>
          <w:szCs w:val="20"/>
          <w:color w:val="auto"/>
        </w:rPr>
      </w:pPr>
      <w:r>
        <w:rPr>
          <w:rFonts w:ascii="Times New Roman" w:cs="Times New Roman" w:eastAsia="Times New Roman" w:hAnsi="Times New Roman"/>
          <w:sz w:val="18"/>
          <w:szCs w:val="18"/>
          <w:color w:val="auto"/>
        </w:rPr>
        <w:t>We operate under a written Code of Business Conduct and Ethics that applies to all of our employees, officers and directors, including those officers responsible for financial reporting. Upon employment with us and annually thereafter, all employees are required to affirm in writing their receipt and review of the Code of Business Conduct and Ethics and their compliance with its provisions. In addition, we maintain policies that prohibit employee and director hedging of Company securities, including shares of our common stock.</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 xml:space="preserve">The Code of Business Conduct and Ethics can be accessed under the “Investor Relations” and “Corporate Governance” links on our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 We intend to satisfy any disclosure requirements pursuant to Item 5.05 of Form 8-K and NASDAQ rules regarding any amendment to, or waiver from, certain provisions of our Code of Business Conduct and Ethics by posting such information on our website.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management team actively engages in communications throughout the year with our investors and stockholders of all ownership levels. Generally, these communications involve participating in investor presentations and question and answer sessions at conferences, meeting with investors and stockholders one-on-one and in small groups, and responding to investor and stockholder letters, emails and telephone calls. Management’s discussions with stockholders and the investment community address numerous aspects of our business and matters of importance or concern to our stockholders. Observations, questions or comments from our stockholders are generally shared with the Board, so that the Board can then consider these matters as part of its oversight responsibilities.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Matters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developing, integrating and managing sustainable practices into every aspect of our business and believe that such practices are instrumental to our long-term success.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build our homes with the goal of affordable sustainability for our customers. Our homes include modern energy-efficiency features like Low-E vinyl windows, programmable thermostats, LED lights, EnergyStar appliances and plumbing fixtures designed to reduce water waste. In 2025, nearly every home we closed featured Energy Star® appliances and WaterSense® fixtures.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LGI Homes is committed to being a people-focused organization and actively promotes a respectful and dignified workplace. We strive to uphold all applicable laws and regulations in the markets where we conduct business and pursue business relationships with external partners who share our commitment to lawful, ethical business conduct. We believe our commitments to hiring, training, safety and employee retention form the foundation of our people-focused culture.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employed 1,056 people, of whom 92 were located at our corporate headquarters. Of our employees located outside our corporate headquarters, 622 were on-site sales and support personnel, and 342 were involved with acquisition and development, purchasing, and construction. We have built a diverse team of professionals with a wide range of industry experience across our markets. We are dedicated to supporting our employees when times are challenging. None of our employees are covered by collective bargaining agreements, and we have not experienced any strikes or work stoppages. We believe we have good relations with our employees. Our human capital resources objectives include, as applicable, identifying, recruiting, training, retaining, incentivizing and integrating our existing and additional employees. We offer our employees a wide array of company-paid benefits which we believe are competitive relative to others in our industry.</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2016, we established the LGI Giving initiative as part of our commitment to give back to our communities. We are committed to improving and giving back to the communities we serve. In addition to ongoing charitable giving, we close all of our offices nationwide for our Service Impact Day once a year. During this annual service event, our focus turns away from sales and home closings as we dedicate the entire day to charitable giving and volunteerism. Every LGI employee spends the day contributing to the local community. From constructing fences and cleaning up parks, organizing food at the food bank, and volunteering at children's centers, we are committed to being a positive presence in the communities we build. Since 2016, we have contributed over $4.0 million in corporate, non-profit sponsorships and donated over 50,000 employee service hours in an effort to make a meaningful impact in our local communities.</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ESG practices are regularly monitored and reviewed by our Nominating and Corporate Governance Committee and our Board of Directors. The committee works closely with senior management to establish, manage and monitor ESG policies related to the interests of our employees, customers, trade partners, local communities and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Complaint Procedures for Accounting, Internal Control, Auditing and Financial Matters</w:t>
      </w:r>
    </w:p>
    <w:p>
      <w:pPr>
        <w:spacing w:after="0" w:line="135" w:lineRule="exact"/>
        <w:rPr>
          <w:sz w:val="20"/>
          <w:szCs w:val="20"/>
          <w:color w:val="auto"/>
        </w:rPr>
      </w:pPr>
    </w:p>
    <w:p>
      <w:pPr>
        <w:jc w:val="both"/>
        <w:ind w:firstLine="279"/>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SEC rules, the Audit Committee has established procedures for (i) the receipt, retention and treatment of complaints regarding accounting, internal control, auditing or financial matters (collectively, “Accounting Matters”) and (ii) the confidential, anonymous submission by employees of concerns regarding questionable Accounting Matters. The Audit Committee oversees treatment of complaints and concerns in this area. Additional information regarding our procedures for anonymous reporting can be found under the “Investor Relations” and “Corporate Governance” links on our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500"/>
        <w:spacing w:after="0" w:line="440" w:lineRule="auto"/>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 Board Leadership Structure</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roles of the Chairman of our Board and Chief Executive Officer, our Board exercises its discretion in combining or separating these positions as it deems appropriate in light of prevailing circumstances. The Board believes that the combination or separation of these positions should continue to be considered as part of our succession planning process. Currently the roles are combined, with Mr. Lipar serving as our Chief Executive Officer and Chairman of the Board. Mr. Lipar’s extensive business knowledge, along with his demonstrated leadership capability through the growth of the Company, makes him highly qualified to continue to serve as our Chairman of the Board and our Chief Executive Officer.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8"/>
          <w:szCs w:val="18"/>
          <w:color w:val="auto"/>
        </w:rPr>
        <w:t>The Lead Independent Director coordinates the activities of the other non-employee directors and performs such other duties and functions as directed by our Board from time to time. The Lead Independent Director presides over all meetings of the independent directors. The Lead Independent Director has the authority to call meetings of the independent directors. Mr. Sansbury currently serves as our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in Risk Oversight</w:t>
      </w:r>
    </w:p>
    <w:p>
      <w:pPr>
        <w:spacing w:after="0" w:line="121"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The Board is responsible for overseeing our risk management process, but does not provide day-to-day risk management of the Company, which is the responsibility of our executive management team. The Board oversees the implementation of risk mitigation strategies by management to ensure such strategies focus on both general risk management and management of the Company’s most significant risks. The Board is also apprised of particular risk management matters in connection with its general oversight and approval of corporate matters and significant transactions. In addition, each of the Board committees is responsible for risk management concerning its area of responsibility, consistent with its charter, and such other responsibilities as may be delegated to it by the Board from time to time.</w:t>
      </w:r>
    </w:p>
    <w:p>
      <w:pPr>
        <w:spacing w:after="0" w:line="93" w:lineRule="exact"/>
        <w:rPr>
          <w:sz w:val="20"/>
          <w:szCs w:val="20"/>
          <w:color w:val="auto"/>
        </w:rPr>
      </w:pPr>
    </w:p>
    <w:p>
      <w:pPr>
        <w:jc w:val="both"/>
        <w:ind w:firstLine="265"/>
        <w:spacing w:after="0" w:line="297" w:lineRule="auto"/>
        <w:rPr>
          <w:sz w:val="20"/>
          <w:szCs w:val="20"/>
          <w:color w:val="auto"/>
        </w:rPr>
      </w:pPr>
      <w:r>
        <w:rPr>
          <w:rFonts w:ascii="Times New Roman" w:cs="Times New Roman" w:eastAsia="Times New Roman" w:hAnsi="Times New Roman"/>
          <w:sz w:val="18"/>
          <w:szCs w:val="18"/>
          <w:color w:val="auto"/>
        </w:rPr>
        <w:t>The risk management process established and overseen by the Company’s executive management team includes centralized corporate review of the market, real estate, financial, and other risks associated with transactions and approval of funds disbursed.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Homebuilding Operations</w:t>
      </w:r>
    </w:p>
    <w:p>
      <w:pPr>
        <w:spacing w:after="0" w:line="117" w:lineRule="exact"/>
        <w:rPr>
          <w:sz w:val="20"/>
          <w:szCs w:val="20"/>
          <w:color w:val="auto"/>
        </w:rPr>
      </w:pPr>
    </w:p>
    <w:p>
      <w:pPr>
        <w:jc w:val="both"/>
        <w:ind w:firstLine="2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Land and Lots. </w:t>
      </w:r>
      <w:r>
        <w:rPr>
          <w:rFonts w:ascii="Times New Roman" w:cs="Times New Roman" w:eastAsia="Times New Roman" w:hAnsi="Times New Roman"/>
          <w:sz w:val="18"/>
          <w:szCs w:val="18"/>
          <w:color w:val="auto"/>
        </w:rPr>
        <w:t>Our Acquisition Committee, consisting of our Chief Executive Officer, Chief Financial Officer, and Executive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and Development, is responsible for our allocation of capital and investment decisions for the acquisition and development of land and lots to support our homebuilding operations. New market expansion opportunities are discussed with the Board. We believe this process adequately manages our risks related to our land and lot acquisitions.</w:t>
      </w:r>
    </w:p>
    <w:p>
      <w:pPr>
        <w:spacing w:after="0" w:line="68"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Homebuilding. </w:t>
      </w:r>
      <w:r>
        <w:rPr>
          <w:rFonts w:ascii="Times New Roman" w:cs="Times New Roman" w:eastAsia="Times New Roman" w:hAnsi="Times New Roman"/>
          <w:sz w:val="18"/>
          <w:szCs w:val="18"/>
          <w:color w:val="auto"/>
        </w:rPr>
        <w:t>Our philosophy is to build homes efficiently, leveraging our proprietary systems and processes, even-flow/continuous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methodology, and offering a set number of floor plans in each community with standardized features. Our experienced local management teams oversee the construction process for the homes we build, with centralized corporate oversight for purchasing, budget variances, scheduling and overall community performance. On a monthly basis, the Board is informed of the monthly home closings by division. At each quarterly meeting, management reviews with the Board, the operating results and home closings by division and market, as well as new markets, new hires, training, and operational issues. We believe this analysis provides the Board with the appropriate information to provide sufficient oversight of our operating risks.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Liquidity</w:t>
      </w:r>
    </w:p>
    <w:p>
      <w:pPr>
        <w:spacing w:after="0" w:line="121" w:lineRule="exact"/>
        <w:rPr>
          <w:sz w:val="20"/>
          <w:szCs w:val="20"/>
          <w:color w:val="auto"/>
        </w:rPr>
      </w:pPr>
    </w:p>
    <w:p>
      <w:pPr>
        <w:jc w:val="both"/>
        <w:ind w:firstLine="205"/>
        <w:spacing w:after="0" w:line="256" w:lineRule="auto"/>
        <w:rPr>
          <w:sz w:val="20"/>
          <w:szCs w:val="20"/>
          <w:color w:val="auto"/>
        </w:rPr>
      </w:pPr>
      <w:r>
        <w:rPr>
          <w:rFonts w:ascii="Times New Roman" w:cs="Times New Roman" w:eastAsia="Times New Roman" w:hAnsi="Times New Roman"/>
          <w:sz w:val="18"/>
          <w:szCs w:val="18"/>
          <w:color w:val="auto"/>
        </w:rPr>
        <w:t>Our financing and liquidity positions may fluctuate due to changes in the homebuilding industry, our results of operations and home sales demand. The Board oversees financing and liquidity risk by regularly monitoring our financial and liquidity position to ensure we maintain the financial resources needed to fund our homebuilding operations, projected growth, and other financing and operating expenses. At each quarterly meeting, management reviews information related to the Company’s financial and liquidity position with the Board, which includes projected short- and long-term liquidity needs, availability under our revolving credit facility and other capital sources. We believe these procedures provide adequate risk oversight of financing and liquidity matters affecting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Reporting, Internal Control and Regulatory Compliance</w:t>
      </w:r>
    </w:p>
    <w:p>
      <w:pPr>
        <w:spacing w:after="0" w:line="117" w:lineRule="exact"/>
        <w:rPr>
          <w:sz w:val="20"/>
          <w:szCs w:val="20"/>
          <w:color w:val="auto"/>
        </w:rPr>
      </w:pPr>
    </w:p>
    <w:p>
      <w:pPr>
        <w:jc w:val="both"/>
        <w:ind w:firstLine="209"/>
        <w:spacing w:after="0" w:line="257" w:lineRule="auto"/>
        <w:rPr>
          <w:sz w:val="20"/>
          <w:szCs w:val="20"/>
          <w:color w:val="auto"/>
        </w:rPr>
      </w:pPr>
      <w:r>
        <w:rPr>
          <w:rFonts w:ascii="Times New Roman" w:cs="Times New Roman" w:eastAsia="Times New Roman" w:hAnsi="Times New Roman"/>
          <w:sz w:val="18"/>
          <w:szCs w:val="18"/>
          <w:b w:val="1"/>
          <w:bCs w:val="1"/>
          <w:color w:val="auto"/>
        </w:rPr>
        <w:t>Audit Committee Risk Oversight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Audit Committee provides risk oversight with respect to financial reporting, internal control over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and related regulatory compliance matters. Each quarter, our Audit Committee discusses with our independent registered public accounting firm its review of our interim financial information and, after our fiscal year-end, discusses its audit of our annual consolidated financial statements, including our procedures on internal control over financial reporting. Also, during the fiscal year, our Audit Committee meets in private session (without the presence of management) with our independent registered public accounting firm to discuss any matters related to the audit of our annual consolidated financial statements and our internal control over financial reporting.</w:t>
      </w:r>
    </w:p>
    <w:p>
      <w:pPr>
        <w:spacing w:after="0" w:line="74"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Compensation Risk Oversight. </w:t>
      </w:r>
      <w:r>
        <w:rPr>
          <w:rFonts w:ascii="Times New Roman" w:cs="Times New Roman" w:eastAsia="Times New Roman" w:hAnsi="Times New Roman"/>
          <w:sz w:val="18"/>
          <w:szCs w:val="18"/>
          <w:color w:val="auto"/>
        </w:rPr>
        <w:t>The Compensation Committee provides risk oversight with respect to compensation of the Company’s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NEOs and other key officers. We believe we have established a short- and long-term compensation program that properly incentivizes desired performance and mitigates inappropriate risk-taking.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Succession Planning</w:t>
      </w:r>
    </w:p>
    <w:p>
      <w:pPr>
        <w:spacing w:after="0" w:line="121" w:lineRule="exact"/>
        <w:rPr>
          <w:sz w:val="20"/>
          <w:szCs w:val="20"/>
          <w:color w:val="auto"/>
        </w:rPr>
      </w:pPr>
    </w:p>
    <w:p>
      <w:pPr>
        <w:jc w:val="both"/>
        <w:ind w:firstLine="201"/>
        <w:spacing w:after="0" w:line="266" w:lineRule="auto"/>
        <w:rPr>
          <w:sz w:val="20"/>
          <w:szCs w:val="20"/>
          <w:color w:val="auto"/>
        </w:rPr>
      </w:pPr>
      <w:r>
        <w:rPr>
          <w:rFonts w:ascii="Times New Roman" w:cs="Times New Roman" w:eastAsia="Times New Roman" w:hAnsi="Times New Roman"/>
          <w:sz w:val="18"/>
          <w:szCs w:val="18"/>
          <w:color w:val="auto"/>
        </w:rPr>
        <w:t>The Board is responsible for determining a succession plan for the Chief Executive Officer in the event of an emergency or otherwise. The Nominating and Corporate Governance Committee has been delegated the responsibility to identify and evaluate potential successors, and to report to the Board from time to time on its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During 2025, our Board met five times, including telephonic meetings. In 2025, all directors attended 100% of the meetings of the Board and the committees on which they served. Our Corporate Governance Guidelines state that Board members are invited and generally expected to attend our annual meeting of stockholders. All of our directors attended the 2025 annual meeting of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firstLine="321"/>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the Audit Committee, the Compensation Committee and the Nominating and Corporate Governance Committee. Each of these committees reports to the Board as it deems appropriate and as the Board may request. The Board has adopted written charters for each of the committees. From time to time, special committees may be established under the direction of our Board when necessary to address specific issues. The information contained in, or that can be accessed through, our website is not incorporated by reference and is not a part of this Proxy Statement.</w:t>
      </w:r>
    </w:p>
    <w:p>
      <w:pPr>
        <w:spacing w:after="0" w:line="72"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The table below sets forth the membership of the Board and its standing committees as of the date of this Proxy Statement and the number of meetings held during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 and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60" w:type="dxa"/>
            <w:vAlign w:val="bottom"/>
            <w:vMerge w:val="restart"/>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Director Name</w:t>
            </w:r>
          </w:p>
        </w:tc>
        <w:tc>
          <w:tcPr>
            <w:tcW w:w="2060" w:type="dxa"/>
            <w:vAlign w:val="bottom"/>
          </w:tcPr>
          <w:p>
            <w:pPr>
              <w:spacing w:after="0"/>
              <w:rPr>
                <w:sz w:val="14"/>
                <w:szCs w:val="14"/>
                <w:color w:val="auto"/>
              </w:rPr>
            </w:pPr>
          </w:p>
        </w:tc>
        <w:tc>
          <w:tcPr>
            <w:tcW w:w="2400" w:type="dxa"/>
            <w:vAlign w:val="bottom"/>
            <w:vMerge w:val="restart"/>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Board of Directors</w:t>
            </w:r>
          </w:p>
        </w:tc>
        <w:tc>
          <w:tcPr>
            <w:tcW w:w="156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8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Governance</w:t>
            </w:r>
          </w:p>
        </w:tc>
        <w:tc>
          <w:tcPr>
            <w:tcW w:w="0" w:type="dxa"/>
            <w:vAlign w:val="bottom"/>
          </w:tcPr>
          <w:p>
            <w:pPr>
              <w:spacing w:after="0"/>
              <w:rPr>
                <w:sz w:val="1"/>
                <w:szCs w:val="1"/>
                <w:color w:val="auto"/>
              </w:rPr>
            </w:pPr>
          </w:p>
        </w:tc>
      </w:tr>
      <w:tr>
        <w:trPr>
          <w:trHeight w:val="212"/>
        </w:trPr>
        <w:tc>
          <w:tcPr>
            <w:tcW w:w="156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156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8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0" w:type="dxa"/>
            <w:vAlign w:val="bottom"/>
          </w:tcPr>
          <w:p>
            <w:pPr>
              <w:spacing w:after="0"/>
              <w:rPr>
                <w:sz w:val="1"/>
                <w:szCs w:val="1"/>
                <w:color w:val="auto"/>
              </w:rPr>
            </w:pPr>
          </w:p>
        </w:tc>
      </w:tr>
      <w:tr>
        <w:trPr>
          <w:trHeight w:val="44"/>
        </w:trPr>
        <w:tc>
          <w:tcPr>
            <w:tcW w:w="15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Ryan Edone*</w:t>
            </w:r>
          </w:p>
        </w:tc>
        <w:tc>
          <w:tcPr>
            <w:tcW w:w="206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tcBorders>
              <w:bottom w:val="single" w:sz="8" w:color="CCEEFF"/>
            </w:tcBorders>
            <w:shd w:val="clear" w:color="auto" w:fill="CCEEFF"/>
          </w:tcPr>
          <w:p>
            <w:pPr>
              <w:jc w:val="center"/>
              <w:ind w:right="38"/>
              <w:spacing w:after="0"/>
              <w:rPr>
                <w:sz w:val="20"/>
                <w:szCs w:val="20"/>
                <w:color w:val="auto"/>
              </w:rPr>
            </w:pPr>
            <w:r>
              <w:rPr>
                <w:rFonts w:ascii="Times New Roman" w:cs="Times New Roman" w:eastAsia="Times New Roman" w:hAnsi="Times New Roman"/>
                <w:sz w:val="16"/>
                <w:szCs w:val="16"/>
                <w:color w:val="auto"/>
              </w:rPr>
              <w:t>Chair</w:t>
            </w:r>
          </w:p>
        </w:tc>
        <w:tc>
          <w:tcPr>
            <w:tcW w:w="18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Eric Lipar**</w:t>
            </w:r>
          </w:p>
        </w:tc>
        <w:tc>
          <w:tcPr>
            <w:tcW w:w="2060" w:type="dxa"/>
            <w:vAlign w:val="bottom"/>
          </w:tcPr>
          <w:p>
            <w:pPr>
              <w:spacing w:after="0"/>
              <w:rPr>
                <w:sz w:val="18"/>
                <w:szCs w:val="18"/>
                <w:color w:val="auto"/>
              </w:rPr>
            </w:pPr>
          </w:p>
        </w:tc>
        <w:tc>
          <w:tcPr>
            <w:tcW w:w="24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Chair</w:t>
            </w:r>
          </w:p>
        </w:tc>
        <w:tc>
          <w:tcPr>
            <w:tcW w:w="1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Shailee Parikh*</w:t>
            </w:r>
          </w:p>
        </w:tc>
        <w:tc>
          <w:tcPr>
            <w:tcW w:w="2060" w:type="dxa"/>
            <w:vAlign w:val="bottom"/>
            <w:shd w:val="clear" w:color="auto" w:fill="CCEEFF"/>
          </w:tcPr>
          <w:p>
            <w:pPr>
              <w:spacing w:after="0"/>
              <w:rPr>
                <w:sz w:val="22"/>
                <w:szCs w:val="22"/>
                <w:color w:val="auto"/>
              </w:rPr>
            </w:pPr>
          </w:p>
        </w:tc>
        <w:tc>
          <w:tcPr>
            <w:tcW w:w="240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8"/>
                <w:szCs w:val="18"/>
                <w:color w:val="auto"/>
                <w:w w:val="91"/>
              </w:rPr>
              <w:t>X</w:t>
            </w:r>
          </w:p>
        </w:tc>
        <w:tc>
          <w:tcPr>
            <w:tcW w:w="18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Bryan Sansbury***</w:t>
            </w:r>
          </w:p>
        </w:tc>
        <w:tc>
          <w:tcPr>
            <w:tcW w:w="2060" w:type="dxa"/>
            <w:vAlign w:val="bottom"/>
          </w:tcPr>
          <w:p>
            <w:pPr>
              <w:spacing w:after="0"/>
              <w:rPr>
                <w:sz w:val="18"/>
                <w:szCs w:val="18"/>
                <w:color w:val="auto"/>
              </w:rPr>
            </w:pPr>
          </w:p>
        </w:tc>
        <w:tc>
          <w:tcPr>
            <w:tcW w:w="240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tcPr>
          <w:p>
            <w:pPr>
              <w:spacing w:after="0"/>
              <w:rPr>
                <w:sz w:val="18"/>
                <w:szCs w:val="18"/>
                <w:color w:val="auto"/>
              </w:rPr>
            </w:pP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X</w:t>
            </w:r>
          </w:p>
        </w:tc>
        <w:tc>
          <w:tcPr>
            <w:tcW w:w="18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Maria Sharpe</w:t>
            </w:r>
          </w:p>
        </w:tc>
        <w:tc>
          <w:tcPr>
            <w:tcW w:w="2060" w:type="dxa"/>
            <w:vAlign w:val="bottom"/>
            <w:shd w:val="clear" w:color="auto" w:fill="CCEEFF"/>
          </w:tcPr>
          <w:p>
            <w:pPr>
              <w:spacing w:after="0"/>
              <w:rPr>
                <w:sz w:val="18"/>
                <w:szCs w:val="18"/>
                <w:color w:val="auto"/>
              </w:rPr>
            </w:pPr>
          </w:p>
        </w:tc>
        <w:tc>
          <w:tcPr>
            <w:tcW w:w="240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Chair</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Steven Smith</w:t>
            </w:r>
          </w:p>
        </w:tc>
        <w:tc>
          <w:tcPr>
            <w:tcW w:w="2060" w:type="dxa"/>
            <w:vAlign w:val="bottom"/>
          </w:tcPr>
          <w:p>
            <w:pPr>
              <w:spacing w:after="0"/>
              <w:rPr>
                <w:sz w:val="18"/>
                <w:szCs w:val="18"/>
                <w:color w:val="auto"/>
              </w:rPr>
            </w:pPr>
          </w:p>
        </w:tc>
        <w:tc>
          <w:tcPr>
            <w:tcW w:w="240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rPr>
              <w:t>X</w:t>
            </w:r>
          </w:p>
        </w:tc>
        <w:tc>
          <w:tcPr>
            <w:tcW w:w="1840" w:type="dxa"/>
            <w:vAlign w:val="bottom"/>
          </w:tcPr>
          <w:p>
            <w:pPr>
              <w:spacing w:after="0"/>
              <w:rPr>
                <w:sz w:val="18"/>
                <w:szCs w:val="18"/>
                <w:color w:val="auto"/>
              </w:rPr>
            </w:pPr>
          </w:p>
        </w:tc>
        <w:tc>
          <w:tcPr>
            <w:tcW w:w="18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Robert Vahradian</w:t>
            </w:r>
          </w:p>
        </w:tc>
        <w:tc>
          <w:tcPr>
            <w:tcW w:w="206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86"/>
              </w:rPr>
              <w:t>X</w:t>
            </w:r>
          </w:p>
        </w:tc>
        <w:tc>
          <w:tcPr>
            <w:tcW w:w="15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5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Number of 2025 meetings</w:t>
            </w:r>
          </w:p>
        </w:tc>
        <w:tc>
          <w:tcPr>
            <w:tcW w:w="24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5</w:t>
            </w:r>
          </w:p>
        </w:tc>
        <w:tc>
          <w:tcPr>
            <w:tcW w:w="1560" w:type="dxa"/>
            <w:vAlign w:val="bottom"/>
          </w:tcPr>
          <w:p>
            <w:pPr>
              <w:jc w:val="center"/>
              <w:ind w:right="38"/>
              <w:spacing w:after="0"/>
              <w:rPr>
                <w:sz w:val="20"/>
                <w:szCs w:val="20"/>
                <w:color w:val="auto"/>
              </w:rPr>
            </w:pPr>
            <w:r>
              <w:rPr>
                <w:rFonts w:ascii="Times New Roman" w:cs="Times New Roman" w:eastAsia="Times New Roman" w:hAnsi="Times New Roman"/>
                <w:sz w:val="16"/>
                <w:szCs w:val="16"/>
                <w:color w:val="auto"/>
                <w:w w:val="99"/>
              </w:rPr>
              <w:t>4</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8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4"/>
        </w:trPr>
        <w:tc>
          <w:tcPr>
            <w:tcW w:w="1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Financial Expert</w:t>
            </w:r>
          </w:p>
        </w:tc>
        <w:tc>
          <w:tcPr>
            <w:tcW w:w="2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Non-independent Director</w:t>
            </w:r>
          </w:p>
        </w:tc>
        <w:tc>
          <w:tcPr>
            <w:tcW w:w="2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Lead Independent Director</w:t>
            </w: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independent directors meet in regularly scheduled executive sessions without management. Mr. Sansbury, as the Lead Independent Director, presides over all executive sessions at which he is present.</w:t>
      </w:r>
    </w:p>
    <w:p>
      <w:pPr>
        <w:spacing w:after="0" w:line="54" w:lineRule="exact"/>
        <w:rPr>
          <w:sz w:val="20"/>
          <w:szCs w:val="20"/>
          <w:color w:val="auto"/>
        </w:rPr>
      </w:pPr>
    </w:p>
    <w:p>
      <w:pPr>
        <w:jc w:val="both"/>
        <w:ind w:firstLine="271"/>
        <w:spacing w:after="0" w:line="266" w:lineRule="auto"/>
        <w:rPr>
          <w:sz w:val="20"/>
          <w:szCs w:val="20"/>
          <w:color w:val="auto"/>
        </w:rPr>
      </w:pPr>
      <w:r>
        <w:rPr>
          <w:rFonts w:ascii="Times New Roman" w:cs="Times New Roman" w:eastAsia="Times New Roman" w:hAnsi="Times New Roman"/>
          <w:sz w:val="18"/>
          <w:szCs w:val="18"/>
          <w:color w:val="auto"/>
        </w:rPr>
        <w:t>Agendas and topics for Board and committee meetings are developed through discussions among management and members of the Board and its committees. Information and data that are important to the issues to be considered are distributed in advance of each meeting. Board meetings and background materials focus on key strategic, operational, financial, governance, risk and compliance matters applicable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261"/>
        <w:spacing w:after="0" w:line="266" w:lineRule="auto"/>
        <w:rPr>
          <w:sz w:val="20"/>
          <w:szCs w:val="20"/>
          <w:color w:val="auto"/>
        </w:rPr>
      </w:pPr>
      <w:r>
        <w:rPr>
          <w:rFonts w:ascii="Times New Roman" w:cs="Times New Roman" w:eastAsia="Times New Roman" w:hAnsi="Times New Roman"/>
          <w:sz w:val="18"/>
          <w:szCs w:val="18"/>
          <w:color w:val="auto"/>
        </w:rPr>
        <w:t>Our Audit Committee consists of Mr. Edone, who serves as chair of the committee, Ms. Parikh and Mr. Smith. The Board has determined that the members of the Audit Committee are independent for purposes of serving on such committee under the NASDAQ listing standards and applicable federal law, including Rule 10A-3 promulgated under the Exchange Act. In addition, the Board has determined that each current member of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meets the NASDAQ listing standards and that both Mr. Edone and Ms. Parikh qualify as an “audit committee financial expert,” as such term is defined in Item 407(d) of Regulation S-K.</w:t>
      </w:r>
    </w:p>
    <w:p>
      <w:pPr>
        <w:spacing w:after="0" w:line="54"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operates pursuant to an Audit Committee Charter, which was approved and adopted by the Board and is posted under the “Investor Relations” and “Corporate Governance” links on the Company’s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 The duties and responsibilities of the Audit Committee are set forth in its Charter. The Audit Committee’s primary purposes are to:</w:t>
      </w:r>
    </w:p>
    <w:p>
      <w:pPr>
        <w:spacing w:after="0" w:line="68"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fulfilling its oversight responsibilities relating to the:</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Company’s financial statements;</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qualifications and independence of the Company’s independent registered public accounting firm;</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Company’s independent registered public accounting firm; and</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related-person transactions;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Audit Committee report to be included in the Company’s annual proxy statement.</w:t>
      </w:r>
    </w:p>
    <w:p>
      <w:pPr>
        <w:spacing w:after="0" w:line="117"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8"/>
          <w:szCs w:val="18"/>
          <w:color w:val="auto"/>
        </w:rPr>
        <w:t>Further discussion regarding the Audit Committee’s processes and procedures regarding the Company’s audited consolidated financial statements for the fiscal year ended December 31, 2025 and other matters are discussed in the Audit Committee Report in this Proxy Statement. During 2025, all of the Audit Committee’s meetings were attended by representatives of Ernst &amp; Young, our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firstLine="327"/>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Ms. Sharpe, who serves as chair of the committee, and Mr. Sansbury. Each of the members of our Compensation Committee is an independent director under the NASDAQ listing standards, qualifies as an “outside director” in accordance with Section 162(m) of the Internal Revenue Code of 1986, as amended (the “Code”), and is a “non-employee director” as defined in Rule 16b-3 promulgated under the Exchange Act.</w:t>
      </w:r>
    </w:p>
    <w:p>
      <w:pPr>
        <w:spacing w:after="0" w:line="72" w:lineRule="exact"/>
        <w:rPr>
          <w:sz w:val="20"/>
          <w:szCs w:val="20"/>
          <w:color w:val="auto"/>
        </w:rPr>
      </w:pPr>
    </w:p>
    <w:p>
      <w:pPr>
        <w:jc w:val="both"/>
        <w:ind w:firstLine="207"/>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Charter has been posted under the “Investor Relations” and “Corporate Governance” links on the Company’s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 The Charter provides that the Compensation Committee shall assist the Board in discharging its responsibility to our stockholders with respect to the following:</w:t>
      </w:r>
    </w:p>
    <w:p>
      <w:pPr>
        <w:spacing w:after="0" w:line="68"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Company’s compensation programs and compensation of the Company’s executive officers;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incentive and equity-based compensation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director compensation;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director and executive officer compliance with the stock ownership guidelines.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Smith, who serves as chair of the committee, Mr. Sansbury and Mr. Vahradian. Each of the members of our Nominating and Corporate Governance Committee is an independent director under the NASDAQ listing standards.</w:t>
      </w:r>
    </w:p>
    <w:p>
      <w:pPr>
        <w:spacing w:after="0" w:line="68"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Charter has been posted under the “Investor Relations” and “Corporate Governance” links on the Company’s website at </w:t>
      </w:r>
      <w:r>
        <w:rPr>
          <w:rFonts w:ascii="Times New Roman" w:cs="Times New Roman" w:eastAsia="Times New Roman" w:hAnsi="Times New Roman"/>
          <w:sz w:val="18"/>
          <w:szCs w:val="18"/>
          <w:u w:val="single" w:color="auto"/>
          <w:color w:val="auto"/>
        </w:rPr>
        <w:t>www.lgihomes.com</w:t>
      </w:r>
      <w:r>
        <w:rPr>
          <w:rFonts w:ascii="Times New Roman" w:cs="Times New Roman" w:eastAsia="Times New Roman" w:hAnsi="Times New Roman"/>
          <w:sz w:val="18"/>
          <w:szCs w:val="18"/>
          <w:color w:val="auto"/>
        </w:rPr>
        <w:t>. The Nominating and Corporate Governance Committee’s primary purpose is to provide assistance to the Board in fulfilling its responsibility to our stockholders by: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91" w:lineRule="exact"/>
        <w:rPr>
          <w:sz w:val="20"/>
          <w:szCs w:val="20"/>
          <w:color w:val="auto"/>
        </w:rPr>
      </w:pPr>
    </w:p>
    <w:p>
      <w:pPr>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directors consistent with criteria approved by the Board and recommending to the Board the qualified candidates for directorships to be filled by the Board or by our stockholders;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organization of the Board to discharge the Board’s duties and responsibilities properly and efficiently;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and principles;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its committees;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disclosure regarding corporate governance and the operation of the committee included in our proxy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firstLine="223"/>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evaluating and approving compensation for our non-employee directors. Our non-employee directors received compensation for 2025 director services, which included the following:</w:t>
      </w:r>
    </w:p>
    <w:p>
      <w:pPr>
        <w:spacing w:after="0" w:line="54"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annual cash retainer, payable quarterly;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annual cash retainer payable quarterly:</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for the Lead Independent Director;</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for the Audit Committee Chair and Compensation Committee Chair;</w:t>
      </w:r>
    </w:p>
    <w:p>
      <w:pPr>
        <w:spacing w:after="0" w:line="117"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for the Nominating and Corporate Governance Committee Chair;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$155,000 grant of restricted stock units (“RSUs”); and</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reasonable out-of-pocket expenses incurred for travel in connection with attendance in-person at Board or committee meetings.</w:t>
      </w:r>
    </w:p>
    <w:p>
      <w:pPr>
        <w:spacing w:after="0" w:line="54" w:lineRule="exact"/>
        <w:rPr>
          <w:sz w:val="20"/>
          <w:szCs w:val="20"/>
          <w:color w:val="auto"/>
        </w:rPr>
      </w:pPr>
    </w:p>
    <w:p>
      <w:pPr>
        <w:jc w:val="both"/>
        <w:ind w:firstLine="201"/>
        <w:spacing w:after="0" w:line="266" w:lineRule="auto"/>
        <w:rPr>
          <w:sz w:val="20"/>
          <w:szCs w:val="20"/>
          <w:color w:val="auto"/>
        </w:rPr>
      </w:pPr>
      <w:r>
        <w:rPr>
          <w:rFonts w:ascii="Times New Roman" w:cs="Times New Roman" w:eastAsia="Times New Roman" w:hAnsi="Times New Roman"/>
          <w:sz w:val="18"/>
          <w:szCs w:val="18"/>
          <w:color w:val="auto"/>
        </w:rPr>
        <w:t>The number of the RSUs granted is determined based on the grant award amount and the closing stock price of our common stock on the date of grant, rounded up to the next whole share as no fractional shares are issued, with one-year cliff vesting. The RSUs granted to non-employee directors for director services for 2026 were awarded on December 15, 2025.</w:t>
      </w:r>
    </w:p>
    <w:p>
      <w:pPr>
        <w:spacing w:after="0" w:line="68"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with respect to 2025 compensation awarded to or earned by our non-employee directors. Mr. Eric Lipar, our Chief Executive Officer and Chairman of the Board, received no additional compensation for serving on the Board, and his 2025 compensation is disclosed under “Executive Compensation”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8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360" w:type="dxa"/>
            <w:vAlign w:val="bottom"/>
          </w:tcPr>
          <w:p>
            <w:pPr>
              <w:spacing w:after="0"/>
              <w:rPr>
                <w:sz w:val="16"/>
                <w:szCs w:val="16"/>
                <w:color w:val="auto"/>
              </w:rPr>
            </w:pPr>
          </w:p>
        </w:tc>
        <w:tc>
          <w:tcPr>
            <w:tcW w:w="162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360" w:type="dxa"/>
            <w:vAlign w:val="bottom"/>
          </w:tcPr>
          <w:p>
            <w:pPr>
              <w:spacing w:after="0"/>
              <w:rPr>
                <w:sz w:val="16"/>
                <w:szCs w:val="16"/>
                <w:color w:val="auto"/>
              </w:rPr>
            </w:pPr>
          </w:p>
        </w:tc>
        <w:tc>
          <w:tcPr>
            <w:tcW w:w="16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40" w:type="dxa"/>
            <w:vAlign w:val="bottom"/>
          </w:tcPr>
          <w:p>
            <w:pPr>
              <w:spacing w:after="0"/>
              <w:rPr>
                <w:sz w:val="16"/>
                <w:szCs w:val="16"/>
                <w:color w:val="auto"/>
              </w:rPr>
            </w:pPr>
          </w:p>
        </w:tc>
        <w:tc>
          <w:tcPr>
            <w:tcW w:w="1440" w:type="dxa"/>
            <w:vAlign w:val="bottom"/>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0"/>
        </w:trPr>
        <w:tc>
          <w:tcPr>
            <w:tcW w:w="23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64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360" w:type="dxa"/>
            <w:vAlign w:val="bottom"/>
          </w:tcPr>
          <w:p>
            <w:pPr>
              <w:spacing w:after="0"/>
              <w:rPr>
                <w:sz w:val="12"/>
                <w:szCs w:val="12"/>
                <w:color w:val="auto"/>
              </w:rPr>
            </w:pPr>
          </w:p>
        </w:tc>
        <w:tc>
          <w:tcPr>
            <w:tcW w:w="1620" w:type="dxa"/>
            <w:vAlign w:val="bottom"/>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(1)(2)(3)</w:t>
            </w:r>
          </w:p>
        </w:tc>
        <w:tc>
          <w:tcPr>
            <w:tcW w:w="360" w:type="dxa"/>
            <w:vAlign w:val="bottom"/>
          </w:tcPr>
          <w:p>
            <w:pPr>
              <w:spacing w:after="0"/>
              <w:rPr>
                <w:sz w:val="12"/>
                <w:szCs w:val="12"/>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5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38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Ryan Edone</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95,000</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250,011</w:t>
            </w:r>
          </w:p>
        </w:tc>
        <w:tc>
          <w:tcPr>
            <w:tcW w:w="0" w:type="dxa"/>
            <w:vAlign w:val="bottom"/>
          </w:tcPr>
          <w:p>
            <w:pPr>
              <w:spacing w:after="0"/>
              <w:rPr>
                <w:sz w:val="1"/>
                <w:szCs w:val="1"/>
                <w:color w:val="auto"/>
              </w:rPr>
            </w:pPr>
          </w:p>
        </w:tc>
      </w:tr>
      <w:tr>
        <w:trPr>
          <w:trHeight w:val="253"/>
        </w:trPr>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Shailee Parikh</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75,000</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230,011</w:t>
            </w:r>
          </w:p>
        </w:tc>
        <w:tc>
          <w:tcPr>
            <w:tcW w:w="0" w:type="dxa"/>
            <w:vAlign w:val="bottom"/>
          </w:tcPr>
          <w:p>
            <w:pPr>
              <w:spacing w:after="0"/>
              <w:rPr>
                <w:sz w:val="1"/>
                <w:szCs w:val="1"/>
                <w:color w:val="auto"/>
              </w:rPr>
            </w:pPr>
          </w:p>
        </w:tc>
      </w:tr>
      <w:tr>
        <w:trPr>
          <w:trHeight w:val="26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Bryan Sansbury</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255,011</w:t>
            </w:r>
          </w:p>
        </w:tc>
        <w:tc>
          <w:tcPr>
            <w:tcW w:w="0" w:type="dxa"/>
            <w:vAlign w:val="bottom"/>
          </w:tcPr>
          <w:p>
            <w:pPr>
              <w:spacing w:after="0"/>
              <w:rPr>
                <w:sz w:val="1"/>
                <w:szCs w:val="1"/>
                <w:color w:val="auto"/>
              </w:rPr>
            </w:pPr>
          </w:p>
        </w:tc>
      </w:tr>
      <w:tr>
        <w:trPr>
          <w:trHeight w:val="253"/>
        </w:trPr>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Maria Sharpe</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95,000</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250,011</w:t>
            </w:r>
          </w:p>
        </w:tc>
        <w:tc>
          <w:tcPr>
            <w:tcW w:w="0" w:type="dxa"/>
            <w:vAlign w:val="bottom"/>
          </w:tcPr>
          <w:p>
            <w:pPr>
              <w:spacing w:after="0"/>
              <w:rPr>
                <w:sz w:val="1"/>
                <w:szCs w:val="1"/>
                <w:color w:val="auto"/>
              </w:rPr>
            </w:pPr>
          </w:p>
        </w:tc>
      </w:tr>
      <w:tr>
        <w:trPr>
          <w:trHeight w:val="26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Steven Smith</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90,000</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245,011</w:t>
            </w:r>
          </w:p>
        </w:tc>
        <w:tc>
          <w:tcPr>
            <w:tcW w:w="0" w:type="dxa"/>
            <w:vAlign w:val="bottom"/>
          </w:tcPr>
          <w:p>
            <w:pPr>
              <w:spacing w:after="0"/>
              <w:rPr>
                <w:sz w:val="1"/>
                <w:szCs w:val="1"/>
                <w:color w:val="auto"/>
              </w:rPr>
            </w:pPr>
          </w:p>
        </w:tc>
      </w:tr>
      <w:tr>
        <w:trPr>
          <w:trHeight w:val="250"/>
        </w:trPr>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Robert Vahradian</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75,000</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155,011</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230,011</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left="500" w:hanging="330"/>
        <w:spacing w:after="0" w:line="263" w:lineRule="auto"/>
        <w:tabs>
          <w:tab w:leader="none" w:pos="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reflect the grant date fair value of RSUs granted in 2025 for director services for 2026, determined in accordance with Financial Accounting Standards Board (“FASB”) Accounting Standards Codification (“ASC”) Topic 718. See Note 9, “Stock-Based Compensation” to our consolidated financial statements included in our 2025 Annual Report, regarding assumptions underlying valuations of equity awards</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95" w:lineRule="exact"/>
        <w:rPr>
          <w:sz w:val="20"/>
          <w:szCs w:val="20"/>
          <w:color w:val="auto"/>
        </w:rPr>
      </w:pPr>
    </w:p>
    <w:p>
      <w:pPr>
        <w:jc w:val="both"/>
        <w:ind w:left="500" w:hanging="330"/>
        <w:spacing w:after="0" w:line="263" w:lineRule="auto"/>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15, 2024, each non-employee director was granted 1,553 RSUs, valued at approximately $155,000 on the date of grant, for director services for 2025. On December 15, 2025, each non-employee director was granted 3,214 RSUs, valued at approximately $155,000 on the date of grant, for director services for 2026. The grants are subject to cliff vesting and become fully vested upon the earlier of (i) the first anniversary of the grant date, (ii) the director’s disability; (iii) the director’s death; or (vi) immediately prior to the closing of a change in control of the Company, as defined in the Amended and Restated LGI Homes, Inc. 2013 Equity Incentive Plan (the “2013 Incentive Plan”).</w:t>
      </w:r>
    </w:p>
    <w:p>
      <w:pPr>
        <w:spacing w:after="0" w:line="71" w:lineRule="exact"/>
        <w:rPr>
          <w:rFonts w:ascii="Times New Roman" w:cs="Times New Roman" w:eastAsia="Times New Roman" w:hAnsi="Times New Roman"/>
          <w:sz w:val="16"/>
          <w:szCs w:val="16"/>
          <w:color w:val="auto"/>
        </w:rPr>
      </w:pPr>
    </w:p>
    <w:p>
      <w:pPr>
        <w:ind w:left="500" w:hanging="330"/>
        <w:spacing w:after="0"/>
        <w:tabs>
          <w:tab w:leader="none" w:pos="5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Messrs. Edone, Sansbury, Smith, and Vahradian and Mses. Parikh and Sharpe each had 3,214 unvested RSUs.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POLICY FOR NON-EMPLOYEE DIRECTORS</w:t>
      </w:r>
    </w:p>
    <w:p>
      <w:pPr>
        <w:spacing w:after="0" w:line="121" w:lineRule="exact"/>
        <w:rPr>
          <w:sz w:val="20"/>
          <w:szCs w:val="20"/>
          <w:color w:val="auto"/>
        </w:rPr>
      </w:pPr>
    </w:p>
    <w:p>
      <w:pPr>
        <w:jc w:val="both"/>
        <w:ind w:firstLine="236"/>
        <w:spacing w:after="0" w:line="255" w:lineRule="auto"/>
        <w:rPr>
          <w:sz w:val="20"/>
          <w:szCs w:val="20"/>
          <w:color w:val="auto"/>
        </w:rPr>
      </w:pPr>
      <w:r>
        <w:rPr>
          <w:rFonts w:ascii="Times New Roman" w:cs="Times New Roman" w:eastAsia="Times New Roman" w:hAnsi="Times New Roman"/>
          <w:sz w:val="18"/>
          <w:szCs w:val="18"/>
          <w:color w:val="auto"/>
        </w:rPr>
        <w:t>In order to evidence the financial alignment of the Company’s directors with the interest of the Company’s stockholders, the Board has established a stock ownership policy for non-employee directors. Under these guidelines, each director is required to own shares of our common stock that have a fair market value (determined as of each annual meeting of the Company’s stockholders) equal to five times (5x) the annual cash retainer paid to the applicable independent director, and each director shall have five (5) years from his or her initial appointment or election to the Board within which to satisfy the foregoing stock ownership policy. The annual cash retainer amount as of December 31, 2025 is $75,000, which results in a director share ownership requirement of approximately 6,241 shares of our common stock determined as of December 31, 2025, based on average of the monthly closing stock prices of $60.09, for the preceding calendar year. As of December 31, 2025, each non-employee director was in compliance with the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serves, or in the past has served, as a member of the Board or compensation committee, or other committee serving an equivalent function, of any entity that has one or more executive officers who serve as members of our Board or our Compensation Committee. None of the members of our Compensation Committee is, or has ever been, an officer or employee of the Company.</w:t>
      </w:r>
    </w:p>
    <w:p>
      <w:pPr>
        <w:spacing w:after="0" w:line="172" w:lineRule="exact"/>
        <w:rPr>
          <w:sz w:val="20"/>
          <w:szCs w:val="20"/>
          <w:color w:val="auto"/>
        </w:rPr>
      </w:pPr>
    </w:p>
    <w:p>
      <w:pPr>
        <w:ind w:right="5460"/>
        <w:spacing w:after="0" w:line="409"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Family Relationships</w:t>
      </w:r>
    </w:p>
    <w:p>
      <w:pPr>
        <w:spacing w:after="0" w:line="1" w:lineRule="exact"/>
        <w:rPr>
          <w:sz w:val="20"/>
          <w:szCs w:val="20"/>
          <w:color w:val="auto"/>
        </w:rPr>
      </w:pPr>
    </w:p>
    <w:p>
      <w:pPr>
        <w:jc w:val="both"/>
        <w:ind w:firstLine="256"/>
        <w:spacing w:after="0" w:line="275" w:lineRule="auto"/>
        <w:rPr>
          <w:sz w:val="20"/>
          <w:szCs w:val="20"/>
          <w:color w:val="auto"/>
        </w:rPr>
      </w:pPr>
      <w:r>
        <w:rPr>
          <w:rFonts w:ascii="Times New Roman" w:cs="Times New Roman" w:eastAsia="Times New Roman" w:hAnsi="Times New Roman"/>
          <w:sz w:val="18"/>
          <w:szCs w:val="18"/>
          <w:color w:val="auto"/>
        </w:rPr>
        <w:t>Mr. Steven Smith, one of our directors, is the uncle of Mr. Eric Lipar, our Chief Executive Officer and Chairman of the Board. Mr. Eric Lipar and Mr. Jack Lipar, our Executive Vice President of Acquisitions, are cousins. There are no other familial relationships among our executive officers and directors.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Transactions with Related Persons</w:t>
      </w:r>
    </w:p>
    <w:p>
      <w:pPr>
        <w:spacing w:after="0" w:line="121" w:lineRule="exact"/>
        <w:rPr>
          <w:sz w:val="20"/>
          <w:szCs w:val="20"/>
          <w:color w:val="auto"/>
        </w:rPr>
      </w:pPr>
    </w:p>
    <w:p>
      <w:pPr>
        <w:jc w:val="both"/>
        <w:ind w:firstLine="197"/>
        <w:spacing w:after="0" w:line="255" w:lineRule="auto"/>
        <w:rPr>
          <w:sz w:val="20"/>
          <w:szCs w:val="20"/>
          <w:color w:val="auto"/>
        </w:rPr>
      </w:pPr>
      <w:r>
        <w:rPr>
          <w:rFonts w:ascii="Times New Roman" w:cs="Times New Roman" w:eastAsia="Times New Roman" w:hAnsi="Times New Roman"/>
          <w:sz w:val="18"/>
          <w:szCs w:val="18"/>
          <w:color w:val="auto"/>
        </w:rPr>
        <w:t>The Board has adopted a Related Party Transactions Policy, which requires that each director and executive officer promptly advise the chairman of the Audit Committee of any Related Person Transaction, as defined therein, of which he or she becomes aware in which the Company is to be a participant, the amount involved exceeds $120,000 and the applicable Related Person had or will have a direct or indirect material interest, and all material facts with respect thereto. The Related Party Transactions Policy defines “Related Person” as (i) an executive officer or director of the Company or a nominee for director of the Company, (ii) a beneficial owner of more than 5% of any class of voting securities of the Company or (iii) an Immediate Family Member (as defined in the policy) of any person identified in clauses (i) or (ii). The Audit Committee (or, if determined by the Audit Committee as advisable, the disinterested members of the Board) shall then consider such Related Person Transaction for approval or ratification.</w:t>
      </w:r>
    </w:p>
    <w:p>
      <w:pPr>
        <w:spacing w:after="0" w:line="81" w:lineRule="exact"/>
        <w:rPr>
          <w:sz w:val="20"/>
          <w:szCs w:val="20"/>
          <w:color w:val="auto"/>
        </w:rPr>
      </w:pPr>
    </w:p>
    <w:p>
      <w:pPr>
        <w:jc w:val="both"/>
        <w:ind w:firstLine="194"/>
        <w:spacing w:after="0" w:line="282" w:lineRule="auto"/>
        <w:rPr>
          <w:sz w:val="20"/>
          <w:szCs w:val="20"/>
          <w:color w:val="auto"/>
        </w:rPr>
      </w:pPr>
      <w:r>
        <w:rPr>
          <w:rFonts w:ascii="Times New Roman" w:cs="Times New Roman" w:eastAsia="Times New Roman" w:hAnsi="Times New Roman"/>
          <w:sz w:val="18"/>
          <w:szCs w:val="18"/>
          <w:color w:val="auto"/>
        </w:rPr>
        <w:t>In considering whether to approve or ratify any Related Person Transaction, the Audit Committee or the disinterested members of the Board, as the case may be, shall consider all factors that are relevant to the Related Person Transaction, including, without limitation, the following:</w:t>
      </w:r>
    </w:p>
    <w:p>
      <w:pPr>
        <w:spacing w:after="0" w:line="54"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transaction and the amount payable to a Related Person;</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interest of the Related Person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91"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may involve a conflict of interest; and</w:t>
      </w:r>
    </w:p>
    <w:p>
      <w:pPr>
        <w:spacing w:after="0" w:line="117"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involves the purchase or sale of assets or the provision of goods or services to the Company and if so, whether the transaction is on terms and made under circumstances that are at least as favorable to the Company as would be available in comparable transactions with or involving unaffiliated third parties.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policy supplements the conflict of interest provisions in our Code of Business Conduct and Ethics.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Land Purchases from Affiliates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enter into or complete any related party transactions during the years ended December 31,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Captive Group Insurance Program</w:t>
      </w:r>
    </w:p>
    <w:p>
      <w:pPr>
        <w:spacing w:after="0" w:line="121" w:lineRule="exact"/>
        <w:rPr>
          <w:sz w:val="20"/>
          <w:szCs w:val="20"/>
          <w:color w:val="auto"/>
        </w:rPr>
      </w:pPr>
    </w:p>
    <w:p>
      <w:pPr>
        <w:jc w:val="both"/>
        <w:ind w:firstLine="227"/>
        <w:spacing w:after="0" w:line="258" w:lineRule="auto"/>
        <w:rPr>
          <w:sz w:val="20"/>
          <w:szCs w:val="20"/>
          <w:color w:val="auto"/>
        </w:rPr>
      </w:pPr>
      <w:r>
        <w:rPr>
          <w:rFonts w:ascii="Times New Roman" w:cs="Times New Roman" w:eastAsia="Times New Roman" w:hAnsi="Times New Roman"/>
          <w:sz w:val="18"/>
          <w:szCs w:val="18"/>
          <w:color w:val="auto"/>
        </w:rPr>
        <w:t>In 2016, the Company placed its worker’s compensation and auto insurance policies with Archway, a captive insurance company with more than 250 members. Mr. Edone is a member of the Board of Directors of Archway and was the President of the Archway Board of Directors from September 2016 to September 2018. Scott Garber, the Company’s General Counsel and Corporate Secretary, is currently President of the Archway Board of Directors. As of December 31, 2025, the Company has approximately $36,000 in Archway stock and $448,619 in security collateral. During 2025, the Company paid approximately $366,795 representing premium and expenses for the policy year ended February 28,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CONTACTING THE BOARD</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Any stockholder or any other interested party who wishes to communicate directly with (i) our Board, (ii) the non-management directors as a group or</w:t>
      </w:r>
    </w:p>
    <w:p>
      <w:pPr>
        <w:spacing w:after="0" w:line="27" w:lineRule="exact"/>
        <w:rPr>
          <w:sz w:val="20"/>
          <w:szCs w:val="20"/>
          <w:color w:val="auto"/>
        </w:rPr>
      </w:pPr>
    </w:p>
    <w:p>
      <w:pPr>
        <w:jc w:val="both"/>
        <w:ind w:firstLine="8"/>
        <w:spacing w:after="0" w:line="253" w:lineRule="auto"/>
        <w:tabs>
          <w:tab w:leader="none" w:pos="3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may do so by corresponding with the Lead Independent Director at the following address: Lead Independent Director, LGI Homes, Inc., 1450 Lake Robbins Drive, Suite 430, The Woodlands, Texas 77380, Attn: Corporate Secretary. The Company will forward any such communication to the intended recipients, unless the communication is clearly of a marketing nature or is unduly hostile, threatening, illegal or similarly inappropriate.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w:t>
      </w:r>
    </w:p>
    <w:p>
      <w:pPr>
        <w:spacing w:after="0" w:line="130"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shares of our common stock as of February 27, 2026, by (i) each of our directors and executive officers, individually and as a group, and (ii) each person known to our management to be the beneficial owner of more than 5% of the outstanding shares of our common stock.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43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420" w:type="dxa"/>
            <w:vAlign w:val="bottom"/>
          </w:tcPr>
          <w:p>
            <w:pPr>
              <w:spacing w:after="0"/>
              <w:rPr>
                <w:sz w:val="18"/>
                <w:szCs w:val="18"/>
                <w:color w:val="auto"/>
              </w:rPr>
            </w:pPr>
          </w:p>
        </w:tc>
      </w:tr>
      <w:tr>
        <w:trPr>
          <w:trHeight w:val="303"/>
        </w:trPr>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Name and Address of Beneficial Owner </w:t>
            </w:r>
            <w:r>
              <w:rPr>
                <w:rFonts w:ascii="Times New Roman" w:cs="Times New Roman" w:eastAsia="Times New Roman" w:hAnsi="Times New Roman"/>
                <w:sz w:val="21"/>
                <w:szCs w:val="21"/>
                <w:b w:val="1"/>
                <w:bCs w:val="1"/>
                <w:color w:val="auto"/>
                <w:vertAlign w:val="superscript"/>
              </w:rPr>
              <w:t>(1)</w:t>
            </w:r>
          </w:p>
        </w:tc>
        <w:tc>
          <w:tcPr>
            <w:tcW w:w="432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4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0"/>
        </w:trPr>
        <w:tc>
          <w:tcPr>
            <w:tcW w:w="5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4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BlackRock, Inc. </w:t>
            </w:r>
            <w:r>
              <w:rPr>
                <w:rFonts w:ascii="Times New Roman" w:cs="Times New Roman" w:eastAsia="Times New Roman" w:hAnsi="Times New Roman"/>
                <w:sz w:val="21"/>
                <w:szCs w:val="21"/>
                <w:color w:val="auto"/>
                <w:vertAlign w:val="superscript"/>
              </w:rPr>
              <w:t>(2)</w:t>
            </w:r>
          </w:p>
        </w:tc>
        <w:tc>
          <w:tcPr>
            <w:tcW w:w="4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3,377,590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r>
      <w:tr>
        <w:trPr>
          <w:trHeight w:val="25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Vanguard Group</w:t>
            </w:r>
            <w:r>
              <w:rPr>
                <w:rFonts w:ascii="Times New Roman" w:cs="Times New Roman" w:eastAsia="Times New Roman" w:hAnsi="Times New Roman"/>
                <w:sz w:val="21"/>
                <w:szCs w:val="21"/>
                <w:color w:val="auto"/>
                <w:vertAlign w:val="superscript"/>
              </w:rPr>
              <w:t>(3)</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2,316,138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6"/>
        </w:trPr>
        <w:tc>
          <w:tcPr>
            <w:tcW w:w="5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State Street Corporation</w:t>
            </w:r>
            <w:r>
              <w:rPr>
                <w:rFonts w:ascii="Times New Roman" w:cs="Times New Roman" w:eastAsia="Times New Roman" w:hAnsi="Times New Roman"/>
                <w:sz w:val="21"/>
                <w:szCs w:val="21"/>
                <w:color w:val="auto"/>
                <w:vertAlign w:val="superscript"/>
              </w:rPr>
              <w:t>(4)</w:t>
            </w:r>
          </w:p>
        </w:tc>
        <w:tc>
          <w:tcPr>
            <w:tcW w:w="4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1,244,316</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5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Dimensional Fund Advisors LP </w:t>
            </w:r>
            <w:r>
              <w:rPr>
                <w:rFonts w:ascii="Times New Roman" w:cs="Times New Roman" w:eastAsia="Times New Roman" w:hAnsi="Times New Roman"/>
                <w:sz w:val="21"/>
                <w:szCs w:val="21"/>
                <w:color w:val="auto"/>
                <w:vertAlign w:val="superscript"/>
              </w:rPr>
              <w:t>(5)</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1,162,130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56"/>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r>
              <w:rPr>
                <w:rFonts w:ascii="Times New Roman" w:cs="Times New Roman" w:eastAsia="Times New Roman" w:hAnsi="Times New Roman"/>
                <w:sz w:val="21"/>
                <w:szCs w:val="21"/>
                <w:b w:val="1"/>
                <w:bCs w:val="1"/>
                <w:color w:val="auto"/>
                <w:vertAlign w:val="superscript"/>
              </w:rPr>
              <w:t>(6)</w:t>
            </w:r>
            <w:r>
              <w:rPr>
                <w:rFonts w:ascii="Times New Roman" w:cs="Times New Roman" w:eastAsia="Times New Roman" w:hAnsi="Times New Roman"/>
                <w:sz w:val="16"/>
                <w:szCs w:val="16"/>
                <w:b w:val="1"/>
                <w:bCs w:val="1"/>
                <w:color w:val="auto"/>
              </w:rPr>
              <w:t>:</w:t>
            </w:r>
          </w:p>
        </w:tc>
        <w:tc>
          <w:tcPr>
            <w:tcW w:w="43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Eric Lipar </w:t>
            </w:r>
            <w:r>
              <w:rPr>
                <w:rFonts w:ascii="Times New Roman" w:cs="Times New Roman" w:eastAsia="Times New Roman" w:hAnsi="Times New Roman"/>
                <w:sz w:val="21"/>
                <w:szCs w:val="21"/>
                <w:color w:val="auto"/>
                <w:vertAlign w:val="superscript"/>
              </w:rPr>
              <w:t>(7)</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2,337,244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Michael Snider </w:t>
            </w:r>
            <w:r>
              <w:rPr>
                <w:rFonts w:ascii="Times New Roman" w:cs="Times New Roman" w:eastAsia="Times New Roman" w:hAnsi="Times New Roman"/>
                <w:sz w:val="21"/>
                <w:szCs w:val="21"/>
                <w:color w:val="auto"/>
                <w:vertAlign w:val="superscript"/>
              </w:rPr>
              <w:t>(8)</w:t>
            </w:r>
          </w:p>
        </w:tc>
        <w:tc>
          <w:tcPr>
            <w:tcW w:w="4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205,987</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Charles Merdian </w:t>
            </w:r>
            <w:r>
              <w:rPr>
                <w:rFonts w:ascii="Times New Roman" w:cs="Times New Roman" w:eastAsia="Times New Roman" w:hAnsi="Times New Roman"/>
                <w:sz w:val="21"/>
                <w:szCs w:val="21"/>
                <w:color w:val="auto"/>
                <w:vertAlign w:val="superscript"/>
              </w:rPr>
              <w:t>(9)</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153,270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Scott Garber </w:t>
            </w:r>
            <w:r>
              <w:rPr>
                <w:rFonts w:ascii="Times New Roman" w:cs="Times New Roman" w:eastAsia="Times New Roman" w:hAnsi="Times New Roman"/>
                <w:sz w:val="21"/>
                <w:szCs w:val="21"/>
                <w:color w:val="auto"/>
                <w:vertAlign w:val="superscript"/>
              </w:rPr>
              <w:t>(10)</w:t>
            </w:r>
          </w:p>
        </w:tc>
        <w:tc>
          <w:tcPr>
            <w:tcW w:w="4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15,449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Bryan Sansbury </w:t>
            </w:r>
            <w:r>
              <w:rPr>
                <w:rFonts w:ascii="Times New Roman" w:cs="Times New Roman" w:eastAsia="Times New Roman" w:hAnsi="Times New Roman"/>
                <w:sz w:val="21"/>
                <w:szCs w:val="21"/>
                <w:color w:val="auto"/>
                <w:vertAlign w:val="superscript"/>
              </w:rPr>
              <w:t>(11)</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112,770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Ryan Edone </w:t>
            </w:r>
            <w:r>
              <w:rPr>
                <w:rFonts w:ascii="Times New Roman" w:cs="Times New Roman" w:eastAsia="Times New Roman" w:hAnsi="Times New Roman"/>
                <w:sz w:val="21"/>
                <w:szCs w:val="21"/>
                <w:color w:val="auto"/>
                <w:vertAlign w:val="superscript"/>
              </w:rPr>
              <w:t>(12)</w:t>
            </w:r>
          </w:p>
        </w:tc>
        <w:tc>
          <w:tcPr>
            <w:tcW w:w="4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39,942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Shailee Parikh</w:t>
            </w:r>
          </w:p>
        </w:tc>
        <w:tc>
          <w:tcPr>
            <w:tcW w:w="43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5,569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Maria Sharpe</w:t>
            </w:r>
          </w:p>
        </w:tc>
        <w:tc>
          <w:tcPr>
            <w:tcW w:w="4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6,569</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Steven Smith</w:t>
            </w:r>
          </w:p>
        </w:tc>
        <w:tc>
          <w:tcPr>
            <w:tcW w:w="432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22,047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Robert Vahradian</w:t>
            </w:r>
          </w:p>
        </w:tc>
        <w:tc>
          <w:tcPr>
            <w:tcW w:w="4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24,073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All directors executive officers as a group</w:t>
            </w:r>
          </w:p>
        </w:tc>
        <w:tc>
          <w:tcPr>
            <w:tcW w:w="43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50"/>
        </w:trPr>
        <w:tc>
          <w:tcPr>
            <w:tcW w:w="54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(10 persons)</w:t>
            </w:r>
          </w:p>
        </w:tc>
        <w:tc>
          <w:tcPr>
            <w:tcW w:w="43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2,922,920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r>
    </w:tbl>
    <w:p>
      <w:pPr>
        <w:spacing w:after="0" w:line="100" w:lineRule="exact"/>
        <w:rPr>
          <w:sz w:val="20"/>
          <w:szCs w:val="20"/>
          <w:color w:val="auto"/>
        </w:rPr>
      </w:pPr>
    </w:p>
    <w:p>
      <w:pPr>
        <w:ind w:left="500" w:hanging="330"/>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the number of shares of our common stock outstanding.</w:t>
      </w:r>
    </w:p>
    <w:p>
      <w:pPr>
        <w:spacing w:after="0" w:line="167" w:lineRule="exact"/>
        <w:rPr>
          <w:sz w:val="20"/>
          <w:szCs w:val="20"/>
          <w:color w:val="auto"/>
        </w:rPr>
      </w:pPr>
    </w:p>
    <w:p>
      <w:pPr>
        <w:ind w:left="500" w:right="20" w:hanging="330"/>
        <w:spacing w:after="0" w:line="298"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SEC rules. The percentage of shares beneficially owned is based on 23,133,086 shares of our common stock outstanding as of February 27, 2026.</w:t>
      </w:r>
    </w:p>
    <w:p>
      <w:pPr>
        <w:spacing w:after="0" w:line="56" w:lineRule="exact"/>
        <w:rPr>
          <w:rFonts w:ascii="Times New Roman" w:cs="Times New Roman" w:eastAsia="Times New Roman" w:hAnsi="Times New Roman"/>
          <w:sz w:val="16"/>
          <w:szCs w:val="16"/>
          <w:color w:val="auto"/>
        </w:rPr>
      </w:pPr>
    </w:p>
    <w:p>
      <w:pPr>
        <w:jc w:val="both"/>
        <w:ind w:left="500" w:hanging="330"/>
        <w:spacing w:after="0" w:line="263"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Schedule 13G/A filed with the SEC on January 23, 2024 by BlackRock, Inc. (“BlackRock”) reflecting beneficial ownership as of December 31, 2023. BlackRock reported sole voting power for 3,333,047 shares of our common stock and sole dispositive power for 3,377,590 shares of our common stock, and of these shares, no shared voting power and no shared dispositive power. The address of BlackRock’s principal business office is 50 Hudson Yards, New York, New York 10001.</w:t>
      </w:r>
    </w:p>
    <w:p>
      <w:pPr>
        <w:spacing w:after="0" w:line="71" w:lineRule="exact"/>
        <w:rPr>
          <w:rFonts w:ascii="Times New Roman" w:cs="Times New Roman" w:eastAsia="Times New Roman" w:hAnsi="Times New Roman"/>
          <w:sz w:val="16"/>
          <w:szCs w:val="16"/>
          <w:color w:val="auto"/>
        </w:rPr>
      </w:pPr>
    </w:p>
    <w:p>
      <w:pPr>
        <w:jc w:val="both"/>
        <w:ind w:left="500" w:hanging="330"/>
        <w:spacing w:after="0" w:line="263"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Schedule 13G/A filed with the SEC on February 5, 2026 by The Vanguard Group (“Vanguard”) reflecting beneficial ownership as of January 30, 2026. Vanguard reported shared voting power for 158,678 shares of our common stock and shared dispositive power for 2,316,138 shares of our common stock, and of these shares, no sole voting power and no sole dispositive power. The address of Vanguard’s principal business office is 100 Vanguard Blvd., Malvern, Pennsylvania 19355.</w:t>
      </w:r>
    </w:p>
    <w:p>
      <w:pPr>
        <w:spacing w:after="0" w:line="84" w:lineRule="exact"/>
        <w:rPr>
          <w:rFonts w:ascii="Times New Roman" w:cs="Times New Roman" w:eastAsia="Times New Roman" w:hAnsi="Times New Roman"/>
          <w:sz w:val="16"/>
          <w:szCs w:val="16"/>
          <w:color w:val="auto"/>
        </w:rPr>
      </w:pPr>
    </w:p>
    <w:p>
      <w:pPr>
        <w:jc w:val="both"/>
        <w:ind w:left="500" w:hanging="330"/>
        <w:spacing w:after="0" w:line="263"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Schedule 13G filed with the SEC on November 10, 2025 by State Street Corporation (“State Street”) reflecting beneficial ownership as of September 30, 2025. State Street reported shared voting power for 1,174,287 shares of our common stock and shared dispositive power for 1,244,316 shares of our common stock, and of these shares, no sole voting power and no sole dispositive power. The address of State Street’s principal business office is One Congress Street, Suite 1, Boston, Massachusetts 02114.</w:t>
      </w:r>
    </w:p>
    <w:p>
      <w:pPr>
        <w:spacing w:after="0" w:line="71" w:lineRule="exact"/>
        <w:rPr>
          <w:rFonts w:ascii="Times New Roman" w:cs="Times New Roman" w:eastAsia="Times New Roman" w:hAnsi="Times New Roman"/>
          <w:sz w:val="16"/>
          <w:szCs w:val="16"/>
          <w:color w:val="auto"/>
        </w:rPr>
      </w:pPr>
    </w:p>
    <w:p>
      <w:pPr>
        <w:jc w:val="both"/>
        <w:ind w:left="500" w:hanging="330"/>
        <w:spacing w:after="0" w:line="272"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Schedule 13G/A filed with the SEC on January 21, 2026 by Dimensional Fund Advisors LP (“Dimensional”) reflecting beneficial ownership as of December 31, 2025. Dimensional reported sole voting power for 1,130,414 shares of our common stock and sole dispositive power for 1,162,130 shares of our common stock,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200" w:lineRule="exact"/>
        <w:rPr>
          <w:sz w:val="20"/>
          <w:szCs w:val="20"/>
          <w:color w:val="auto"/>
        </w:rPr>
      </w:pPr>
    </w:p>
    <w:p>
      <w:pPr>
        <w:spacing w:after="0" w:line="295"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6"/>
          <w:szCs w:val="16"/>
          <w:color w:val="auto"/>
        </w:rPr>
        <w:t>of these shares, no shared voting power and no shared dispositive power. The address of Dimensional’s principal business office is 6300 Bee Cave Road, Building One, Austin, Texas 78746.</w:t>
      </w:r>
    </w:p>
    <w:p>
      <w:pPr>
        <w:spacing w:after="0" w:line="70" w:lineRule="exact"/>
        <w:rPr>
          <w:sz w:val="20"/>
          <w:szCs w:val="20"/>
          <w:color w:val="auto"/>
        </w:rPr>
      </w:pPr>
    </w:p>
    <w:p>
      <w:pPr>
        <w:jc w:val="both"/>
        <w:ind w:left="500" w:hanging="330"/>
        <w:spacing w:after="0" w:line="272"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and performance-based restricted stock units (“PSUs”) held by the directors and executive officers that are outstanding and vest within 60 days of February 27, 2026 are deemed outstanding for the purposes of computing the percentage of shares of our common stock owned by such person or group, but are not deemed to be outstanding for the purpose of computing the percentage of shares of our common stock owned by any other person or group.</w:t>
      </w:r>
    </w:p>
    <w:p>
      <w:pPr>
        <w:spacing w:after="0" w:line="62" w:lineRule="exact"/>
        <w:rPr>
          <w:rFonts w:ascii="Times New Roman" w:cs="Times New Roman" w:eastAsia="Times New Roman" w:hAnsi="Times New Roman"/>
          <w:sz w:val="16"/>
          <w:szCs w:val="16"/>
          <w:color w:val="auto"/>
        </w:rPr>
      </w:pPr>
    </w:p>
    <w:p>
      <w:pPr>
        <w:jc w:val="both"/>
        <w:ind w:left="500" w:hanging="330"/>
        <w:spacing w:after="0" w:line="263"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1,663,007 shares held by EDSS Holdings, LP, whose general partner is an entity wholly-owned by Mr. Eric Lipar; 23,244 shares and 175 shares held by LGI Fund II GP, LLC and LGI Fund III GP, LLC, respectively, whose sole owner is Mr. Lipar; and 7,942 shares and 16,956 shares of our common stock to be issued in connection with outstanding RSUs and the settlement of the PSUs, respectively, which vested on March 8, 2026, within 60 days of February 27, 2026. Also includes 17,326 shares owned by Mr. Eric Lipar’s spouse. Mr. Lipar has pledged 395,857 shares of our common stock in connection with a line of credit with a financial institution which had approximately $5,745,469 outstanding as of February 27, 2026.</w:t>
      </w:r>
    </w:p>
    <w:p>
      <w:pPr>
        <w:spacing w:after="0" w:line="71" w:lineRule="exact"/>
        <w:rPr>
          <w:rFonts w:ascii="Times New Roman" w:cs="Times New Roman" w:eastAsia="Times New Roman" w:hAnsi="Times New Roman"/>
          <w:sz w:val="16"/>
          <w:szCs w:val="16"/>
          <w:color w:val="auto"/>
        </w:rPr>
      </w:pPr>
    </w:p>
    <w:p>
      <w:pPr>
        <w:jc w:val="both"/>
        <w:ind w:left="500" w:hanging="330"/>
        <w:spacing w:after="0" w:line="272"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2,516 shares and 5,371 shares of our common stock to be issued in connection with outstanding RSUs and the settlement of the PSUs, respectively, which vested on March 8, 2026, within 60 days of February 27, 2026. Also includes 4,227 shares owned by Mr. Snider’s spouse. Does not include shares of our common stock to be acquired in connection with the ESPP (defined below) quarterly purchase period ending March 31, 2026.</w:t>
      </w:r>
    </w:p>
    <w:p>
      <w:pPr>
        <w:spacing w:after="0" w:line="62" w:lineRule="exact"/>
        <w:rPr>
          <w:rFonts w:ascii="Times New Roman" w:cs="Times New Roman" w:eastAsia="Times New Roman" w:hAnsi="Times New Roman"/>
          <w:sz w:val="16"/>
          <w:szCs w:val="16"/>
          <w:color w:val="auto"/>
        </w:rPr>
      </w:pPr>
    </w:p>
    <w:p>
      <w:pPr>
        <w:jc w:val="both"/>
        <w:ind w:left="500" w:hanging="330"/>
        <w:spacing w:after="0" w:line="272"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2,300 shares and 4,911 shares of our common stock to be issued in connection with outstanding RSUs and the settlement of the PSUs, respectively, which vested on March 8, 2026, within 60 days of February 27, 2026. Does not include shares of our common stock to be acquired in connection with the ESPP quarterly purchase period ending March 31, 2026.</w:t>
      </w:r>
    </w:p>
    <w:p>
      <w:pPr>
        <w:spacing w:after="0" w:line="62" w:lineRule="exact"/>
        <w:rPr>
          <w:rFonts w:ascii="Times New Roman" w:cs="Times New Roman" w:eastAsia="Times New Roman" w:hAnsi="Times New Roman"/>
          <w:sz w:val="16"/>
          <w:szCs w:val="16"/>
          <w:color w:val="auto"/>
        </w:rPr>
      </w:pPr>
    </w:p>
    <w:p>
      <w:pPr>
        <w:jc w:val="both"/>
        <w:ind w:left="500" w:hanging="330"/>
        <w:spacing w:after="0" w:line="272"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863 shares and 1,842 shares of our common stock to be issued in connection with outstanding RSUs and the settlement of the PSUs, respectively, which vested on March 8, 2026, within 60 days of February 27, 2026. Does not include shares of our common stock to be acquired in connection with the ESPP quarterly purchase period ending March 31, 2026.</w:t>
      </w:r>
    </w:p>
    <w:p>
      <w:pPr>
        <w:spacing w:after="0" w:line="62" w:lineRule="exact"/>
        <w:rPr>
          <w:rFonts w:ascii="Times New Roman" w:cs="Times New Roman" w:eastAsia="Times New Roman" w:hAnsi="Times New Roman"/>
          <w:sz w:val="16"/>
          <w:szCs w:val="16"/>
          <w:color w:val="auto"/>
        </w:rPr>
      </w:pPr>
    </w:p>
    <w:p>
      <w:pPr>
        <w:ind w:left="480" w:hanging="310"/>
        <w:spacing w:after="0"/>
        <w:tabs>
          <w:tab w:leader="none" w:pos="4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600 shares of our common stock owned by trusts on behalf of Mr. Sansbury’s children.</w:t>
      </w:r>
    </w:p>
    <w:p>
      <w:pPr>
        <w:spacing w:after="0" w:line="126" w:lineRule="exact"/>
        <w:rPr>
          <w:rFonts w:ascii="Times New Roman" w:cs="Times New Roman" w:eastAsia="Times New Roman" w:hAnsi="Times New Roman"/>
          <w:sz w:val="16"/>
          <w:szCs w:val="16"/>
          <w:color w:val="auto"/>
        </w:rPr>
      </w:pPr>
    </w:p>
    <w:p>
      <w:pPr>
        <w:ind w:left="500" w:hanging="330"/>
        <w:spacing w:after="0" w:line="280" w:lineRule="auto"/>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1,400 shares of our common stock owned by trusts on behalf of Mr. Edone’s children. Also includes 7,500 shares of our common stock owned by the James Larry Cook Children’s Trust, of which Mr. Edone disclaims beneficial ownership.</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INSIDER TRADING POLICY</w:t>
      </w:r>
    </w:p>
    <w:p>
      <w:pPr>
        <w:spacing w:after="0" w:line="3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our directors, officers and employees that is reasonably designed to promote compliance with insider trading laws, rules and regulations and any NASDAQ listing standards applicable to us. Our Insider Trading Policy prohibits our directors, officers and employees from purchasing or selling the Company’s securities while in possession of material, nonpublic information, or otherwise using such information for their personal benefit or in any manner that would violate applicable laws and regulations. Our directors, officers, and employees may not use any strategies or products (such as derivative securities or short-selling techniques) to hedge against the potential decrease of any of our securities or enter into any form of hedging or monetization transaction involving any of our securities. Securities are defined in our Insider Trading Policy to include shares of our common stock, performance-based stock units, restricted stock units, debt securities, and any other type of securities or equity interests that the Company may issue. However, under our Insider Trading Policy, our directors, officers and employees can pledge shares of our common stock as collateral for a loan if the director, officer or employee obtains pre-clearance from the designated compliance officer. A copy of our Insider Trading Policy is included as Exhibit 19.1 to the 2025 Annual Report. In addition, with regard to the Company’s trading in its own securities, it is the Company’s policy to comply with the federal securities laws and the applicable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the information as of December 31, 2025 for our equity compensation plans approved by our stockholders: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00" w:type="dxa"/>
            <w:vAlign w:val="bottom"/>
          </w:tcPr>
          <w:p>
            <w:pPr>
              <w:spacing w:after="0"/>
              <w:rPr>
                <w:sz w:val="16"/>
                <w:szCs w:val="16"/>
                <w:color w:val="auto"/>
              </w:rPr>
            </w:pPr>
          </w:p>
        </w:tc>
        <w:tc>
          <w:tcPr>
            <w:tcW w:w="2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issued upon exercise of</w:t>
            </w:r>
          </w:p>
        </w:tc>
        <w:tc>
          <w:tcPr>
            <w:tcW w:w="10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22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future issuance</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4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 warrants</w:t>
            </w:r>
          </w:p>
        </w:tc>
        <w:tc>
          <w:tcPr>
            <w:tcW w:w="100" w:type="dxa"/>
            <w:vAlign w:val="bottom"/>
          </w:tcPr>
          <w:p>
            <w:pPr>
              <w:spacing w:after="0"/>
              <w:rPr>
                <w:sz w:val="7"/>
                <w:szCs w:val="7"/>
                <w:color w:val="auto"/>
              </w:rPr>
            </w:pPr>
          </w:p>
        </w:tc>
        <w:tc>
          <w:tcPr>
            <w:tcW w:w="2240" w:type="dxa"/>
            <w:vAlign w:val="bottom"/>
            <w:gridSpan w:val="2"/>
            <w:vMerge w:val="continue"/>
          </w:tcPr>
          <w:p>
            <w:pPr>
              <w:spacing w:after="0"/>
              <w:rPr>
                <w:sz w:val="7"/>
                <w:szCs w:val="7"/>
                <w:color w:val="auto"/>
              </w:rPr>
            </w:pPr>
          </w:p>
        </w:tc>
        <w:tc>
          <w:tcPr>
            <w:tcW w:w="22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equity compensation</w:t>
            </w:r>
          </w:p>
        </w:tc>
        <w:tc>
          <w:tcPr>
            <w:tcW w:w="0" w:type="dxa"/>
            <w:vAlign w:val="bottom"/>
          </w:tcPr>
          <w:p>
            <w:pPr>
              <w:spacing w:after="0"/>
              <w:rPr>
                <w:sz w:val="1"/>
                <w:szCs w:val="1"/>
                <w:color w:val="auto"/>
              </w:rPr>
            </w:pPr>
          </w:p>
        </w:tc>
      </w:tr>
      <w:tr>
        <w:trPr>
          <w:trHeight w:val="81"/>
        </w:trPr>
        <w:tc>
          <w:tcPr>
            <w:tcW w:w="4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26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00" w:type="dxa"/>
            <w:vAlign w:val="bottom"/>
          </w:tcPr>
          <w:p>
            <w:pPr>
              <w:spacing w:after="0"/>
              <w:rPr>
                <w:sz w:val="11"/>
                <w:szCs w:val="11"/>
                <w:color w:val="auto"/>
              </w:rPr>
            </w:pPr>
          </w:p>
        </w:tc>
        <w:tc>
          <w:tcPr>
            <w:tcW w:w="2240" w:type="dxa"/>
            <w:vAlign w:val="bottom"/>
            <w:gridSpan w:val="2"/>
            <w:vMerge w:val="continue"/>
          </w:tcPr>
          <w:p>
            <w:pPr>
              <w:spacing w:after="0"/>
              <w:rPr>
                <w:sz w:val="11"/>
                <w:szCs w:val="11"/>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83"/>
        </w:trPr>
        <w:tc>
          <w:tcPr>
            <w:tcW w:w="4260" w:type="dxa"/>
            <w:vAlign w:val="bottom"/>
            <w:gridSpan w:val="2"/>
            <w:vMerge w:val="continue"/>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Amended and Restated 2013 Equity Incentive Plan</w:t>
            </w:r>
          </w:p>
        </w:tc>
        <w:tc>
          <w:tcPr>
            <w:tcW w:w="120" w:type="dxa"/>
            <w:vAlign w:val="bottom"/>
          </w:tcPr>
          <w:p>
            <w:pPr>
              <w:spacing w:after="0"/>
              <w:rPr>
                <w:sz w:val="17"/>
                <w:szCs w:val="17"/>
                <w:color w:val="auto"/>
              </w:rPr>
            </w:pPr>
          </w:p>
        </w:tc>
        <w:tc>
          <w:tcPr>
            <w:tcW w:w="22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470,950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743,881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234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472,789</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 total of 2,680,172 shares of our common stock has been reserved for issuance under the 2013 Incentive Plan. The 2013 Incentive Plan was approved by the Company’s stockholders at the Company’s 2017 Annual Meeting of Stockholders in May 2017. There were 222,828 RSUs outstanding at December 31, 2025, issued at a $0.00 exercise price. At December 31, 2025, there were 222,828 target PSUs outstanding that have been granted to certain members of management at a $0.00 exercise price. The number of shares of our common stock underlying the PSUs that will be issued to the recipient may range from 0% to 200% of the base award depending on actual performance metrics as compared to the target performance metrics. See Note 9, “Stock-Based Compensation” to our consolidated financial statements included in our 2025 Annual Report for a description of the 2013 Incentive Plan.</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total of 1,000,000 shares of our common stock has been reserved for issuance under the LGI Homes, Inc. 2016 Employee Stock Purchase Plan (as amended, the “ESPP”). The ESPP provides for employees to make quarterly elections for payroll withholdings to purchase shares of our common stock at a 15% discount from the closing price on the purchase date, which is the last business day of each calendar quarter. See Note 9, “Stock-Based Compensation” to our consolidated financial statements included in our 2025 Annual Report for a description of the ESPP.</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executive officers, vice presidents, directors and certain other personnel are eligible to receive annual bonuses and equity compensation under the 2013 Incentive Plan and the Company’s Annual Bonus Plan. RSU grants to our employees generally provide for three-year cliff vesting, aligned with our commitment to building employee loyalty and long-term value for our stockholders. Our construction personnel are eligible to receive bonuses and our sales personnel are eligible to receive commission and bonuses based on achieving pre-established home closing volumes. Our non-sales employees are also eligible to receive an annual bonus based on loyalty and if the Company or their location achieves pre-established home closing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38" w:lineRule="exact"/>
        <w:rPr>
          <w:sz w:val="20"/>
          <w:szCs w:val="20"/>
          <w:color w:val="auto"/>
        </w:rPr>
      </w:pPr>
    </w:p>
    <w:p>
      <w:pPr>
        <w:jc w:val="both"/>
        <w:ind w:firstLine="236"/>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the Company’s current executive officers who are not also directors. Information concerning Eric Lipar, our Chief Executive Officer and Chairman of the Board, may be found above in the section entitled “Proposal 1—Election of Directors.”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0" w:type="dxa"/>
            <w:vAlign w:val="bottom"/>
          </w:tcPr>
          <w:p>
            <w:pPr>
              <w:jc w:val="center"/>
              <w:ind w:left="639"/>
              <w:spacing w:after="0"/>
              <w:rPr>
                <w:sz w:val="20"/>
                <w:szCs w:val="20"/>
                <w:color w:val="auto"/>
              </w:rPr>
            </w:pPr>
            <w:r>
              <w:rPr>
                <w:rFonts w:ascii="Times New Roman" w:cs="Times New Roman" w:eastAsia="Times New Roman" w:hAnsi="Times New Roman"/>
                <w:sz w:val="16"/>
                <w:szCs w:val="16"/>
                <w:b w:val="1"/>
                <w:bCs w:val="1"/>
                <w:color w:val="auto"/>
              </w:rPr>
              <w:t>Age</w:t>
            </w:r>
          </w:p>
        </w:tc>
        <w:tc>
          <w:tcPr>
            <w:tcW w:w="74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r>
      <w:tr>
        <w:trPr>
          <w:trHeight w:val="250"/>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Eric Lipar</w:t>
            </w:r>
          </w:p>
        </w:tc>
        <w:tc>
          <w:tcPr>
            <w:tcW w:w="16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55</w:t>
            </w:r>
          </w:p>
        </w:tc>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Chief Executive Officer and Chairman of the Board</w:t>
            </w:r>
          </w:p>
        </w:tc>
      </w:tr>
      <w:tr>
        <w:trPr>
          <w:trHeight w:val="254"/>
        </w:trPr>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Michael Snider</w:t>
            </w:r>
          </w:p>
        </w:tc>
        <w:tc>
          <w:tcPr>
            <w:tcW w:w="16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54</w:t>
            </w:r>
          </w:p>
        </w:tc>
        <w:tc>
          <w:tcPr>
            <w:tcW w:w="7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President and Chief Operating Officer</w:t>
            </w:r>
          </w:p>
        </w:tc>
      </w:tr>
      <w:tr>
        <w:trPr>
          <w:trHeight w:val="259"/>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Charles Merdian</w:t>
            </w:r>
          </w:p>
        </w:tc>
        <w:tc>
          <w:tcPr>
            <w:tcW w:w="16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56</w:t>
            </w:r>
          </w:p>
        </w:tc>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51"/>
        </w:trPr>
        <w:tc>
          <w:tcPr>
            <w:tcW w:w="2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Scott Garber</w:t>
            </w:r>
          </w:p>
        </w:tc>
        <w:tc>
          <w:tcPr>
            <w:tcW w:w="16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54</w:t>
            </w:r>
          </w:p>
        </w:tc>
        <w:tc>
          <w:tcPr>
            <w:tcW w:w="7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General Counsel and Corporate Secretary</w:t>
            </w:r>
          </w:p>
        </w:tc>
      </w:tr>
    </w:tbl>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Michael Snider. </w:t>
      </w:r>
      <w:r>
        <w:rPr>
          <w:rFonts w:ascii="Times New Roman" w:cs="Times New Roman" w:eastAsia="Times New Roman" w:hAnsi="Times New Roman"/>
          <w:sz w:val="18"/>
          <w:szCs w:val="18"/>
          <w:color w:val="auto"/>
        </w:rPr>
        <w:t>Mr. Snider has served as our President since 2009 and our Chief Operating Officer since July 2013. He oversees all aspects of our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and product development. Prior to serving as our President, Mr. Snider was Executive Vice President of Homebuilding (2005-2009) and in the role of Homebuilding Manager (2004). Before joining the Company in 2004, Mr. Snider was a Project Manager for Tadian Homes, a homebuilder based in Troy, Michigan.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Charles Merdian. </w:t>
      </w:r>
      <w:r>
        <w:rPr>
          <w:rFonts w:ascii="Times New Roman" w:cs="Times New Roman" w:eastAsia="Times New Roman" w:hAnsi="Times New Roman"/>
          <w:sz w:val="18"/>
          <w:szCs w:val="18"/>
          <w:color w:val="auto"/>
        </w:rPr>
        <w:t>Mr. Merdian has served as our Chief Financial Officer and Treasurer since 2013 and served as our Secretary from 2013 to 2016.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becoming our Chief Financial Officer in 2010, Mr. Merdian was our Controller from 2004 through 2010. Prior to joining us in 2004, Mr. Merdian served as Accounting and Finance Manager for The Woodlands Operating Company where he specialized in accounting and financial analysis of real estate ventures, focusing primarily on residential and commercial developments. Prior to The Woodlands Operating Company, Mr. Merdian served as an accounting manager working at the Williamson-Dickie Manufacturing Co. and as a senior auditor for Coopers &amp; Lybrand, LLP. Mr. Merdian has worked in residential real estate and homebuilding finance since 1998. Mr. Merdian is a Certified Public Accountant and is a member of the Texas Society of Certified Public Accountants. Mr. Merdian also serves on the Montgomery County Habitat for Humanity Advisory Council and is a past President of its Board of Directors.</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Garber. </w:t>
      </w:r>
      <w:r>
        <w:rPr>
          <w:rFonts w:ascii="Times New Roman" w:cs="Times New Roman" w:eastAsia="Times New Roman" w:hAnsi="Times New Roman"/>
          <w:sz w:val="18"/>
          <w:szCs w:val="18"/>
          <w:color w:val="auto"/>
        </w:rPr>
        <w:t>Mr. Garber has served as our General Counsel and Corporate Secretary since April 2018. His responsibilities include all company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as well as corporate governance and risk management. Prior to joining the Company, Mr. Garber served as Assistant General Counsel at Chevron Phillips Chemical Company (CPChem) from March 2012 to April 2018, where he was responsible for major company transactions (both domestic and international), corporate governance of its Qatar-based joint ventures, and management of commercial legal matters for various company product lines and divisions. Prior to joining CPChem, Mr. Garber served as Associate General Counsel for United Airlines (formerly Continental Airlines), then the world’s largest airline, where he was responsible for the company’s litigation, antitrust and intellectual property matters. Mr. Garber previously worked at Howrey Simon Arnold &amp; White, a major international law firm, where he specialized in all aspects of intellectual property law. Mr. Garber is a member of the State Bar of Texas and is also admitted to practice before the U.S. Patent &amp; Trademark Office. Mr. Garber is also President of the Board of Directors of Archway Insurance, Ltd, a captive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Compensation Discussion and Analysis (“CD&amp;A”), we provide an overview of our executive compensation program and describe the material components of our executive compensation program for our 2025 NEOs, whose compensation is set forth in the Summary Executive Compensation Table and other compensation tables contained in this Proxy Statement. Our 2025 NEOs were:</w:t>
      </w:r>
    </w:p>
    <w:p>
      <w:pPr>
        <w:spacing w:after="0" w:line="68"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Lipar, Chief Executive Officer and Chairman of the Board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Snider, President and Chief Operating Officer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Merdian, Chief Financial Officer and Treasurer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Garber, General Counsel and Corporate Secretary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our culture, customer-centric sales and marketing system, and our systems and processes, we are one of America’s largest home builders and land developers. We provide move-in-ready homes to primarily entry-level homebuyers and have expanded our footprint from 25 active communities in four states as of our initial public offering in November 2013 to 144 active communities in 21 states as of December 31, 2025. Our long-term success depends on our ability to attract, engage, incentivize and retain highly talented individuals who are committed to our systems-based strategy.</w:t>
      </w:r>
    </w:p>
    <w:p>
      <w:pPr>
        <w:spacing w:after="0" w:line="72" w:lineRule="exact"/>
        <w:rPr>
          <w:sz w:val="20"/>
          <w:szCs w:val="20"/>
          <w:color w:val="auto"/>
        </w:rPr>
      </w:pPr>
    </w:p>
    <w:p>
      <w:pPr>
        <w:jc w:val="both"/>
        <w:ind w:right="20" w:firstLine="219"/>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links the pay of each NEO to such NEO’s performance and advancement of LGI’s overall annual and long-term performance and business strategies.</w:t>
      </w:r>
    </w:p>
    <w:p>
      <w:pPr>
        <w:spacing w:after="0" w:line="54" w:lineRule="exact"/>
        <w:rPr>
          <w:sz w:val="20"/>
          <w:szCs w:val="20"/>
          <w:color w:val="auto"/>
        </w:rPr>
      </w:pPr>
    </w:p>
    <w:p>
      <w:pPr>
        <w:jc w:val="both"/>
        <w:ind w:firstLine="247"/>
        <w:spacing w:after="0" w:line="261" w:lineRule="auto"/>
        <w:rPr>
          <w:sz w:val="20"/>
          <w:szCs w:val="20"/>
          <w:color w:val="auto"/>
        </w:rPr>
      </w:pPr>
      <w:r>
        <w:rPr>
          <w:rFonts w:ascii="Times New Roman" w:cs="Times New Roman" w:eastAsia="Times New Roman" w:hAnsi="Times New Roman"/>
          <w:sz w:val="18"/>
          <w:szCs w:val="18"/>
          <w:color w:val="auto"/>
        </w:rPr>
        <w:t>Other objectives of our executive compensation program include aligning the interests of our NEOs with those of our stockholders and encouraging high-performing NEOs to remain with LGI over the course of their careers. We believe that LGI’s executive compensation program is effectively attracting executive talent, as well as rewarding performance and promoting retention. We also believe that the amount of compensation paid to each NEO reflects the depth of their experience, quality of their performance and level of service to LGI and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Business Highlights</w:t>
      </w:r>
    </w:p>
    <w:p>
      <w:pPr>
        <w:spacing w:after="0" w:line="24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8"/>
          <w:szCs w:val="18"/>
          <w:color w:val="auto"/>
        </w:rPr>
        <w:t>As discussed in our 2025 Annual Report, we continued to execute on our core business model throughout the year, with a focus on operational efficiency, discipline in land acquisition, and a product strategy designed to serve the entry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buyer. During the year, we continued to invest in people, land, and operating platforms that support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strategy, even as we adapted to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market conditions. While revenues and home closings declined year over year, our results reflect our ability to calibrate incentives and product offerings to meet buyers at the most compelling price points in the market. Gross margins moderated year over year, but remained resilient, underscoring the strategic and targeted use of incentives while maintaining an attractive margin profile relative to the broader industry.</w:t>
      </w:r>
    </w:p>
    <w:p>
      <w:pPr>
        <w:spacing w:after="0" w:line="213"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As we move into 2026, we do so with resilience, focus, and a deep commitment to navigating the market with the same discipline that guided us throughout our history. Our strategy remains centered on affordability and aligning with today’s homebuyer needs while maintaining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fundamentals that continue to differentiate LGI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our results for each of the three years ended December 31, 2025, 2024 and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438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w w:val="98"/>
              </w:rPr>
              <w:t>As of and for the 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Key Results</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2024</w:t>
            </w: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5660" w:type="dxa"/>
            <w:vAlign w:val="bottom"/>
          </w:tcPr>
          <w:p>
            <w:pPr>
              <w:spacing w:after="0"/>
              <w:rPr>
                <w:sz w:val="19"/>
                <w:szCs w:val="19"/>
                <w:color w:val="auto"/>
              </w:rPr>
            </w:pPr>
          </w:p>
        </w:tc>
        <w:tc>
          <w:tcPr>
            <w:tcW w:w="43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20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Closed</w:t>
            </w:r>
          </w:p>
        </w:tc>
        <w:tc>
          <w:tcPr>
            <w:tcW w:w="196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4,788</w:t>
            </w:r>
            <w:r>
              <w:rPr>
                <w:rFonts w:ascii="Times New Roman" w:cs="Times New Roman" w:eastAsia="Times New Roman" w:hAnsi="Times New Roman"/>
                <w:sz w:val="23"/>
                <w:szCs w:val="23"/>
                <w:color w:val="auto"/>
                <w:w w:val="92"/>
                <w:vertAlign w:val="superscript"/>
              </w:rPr>
              <w:t>(3)</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8"/>
              </w:rPr>
              <w:t>6,131</w:t>
            </w:r>
            <w:r>
              <w:rPr>
                <w:rFonts w:ascii="Times New Roman" w:cs="Times New Roman" w:eastAsia="Times New Roman" w:hAnsi="Times New Roman"/>
                <w:sz w:val="7"/>
                <w:szCs w:val="7"/>
                <w:color w:val="auto"/>
                <w:w w:val="98"/>
              </w:rPr>
              <w:t>(3)</w:t>
            </w:r>
          </w:p>
        </w:tc>
        <w:tc>
          <w:tcPr>
            <w:tcW w:w="12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6,729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$1,705,504</w:t>
            </w:r>
          </w:p>
        </w:tc>
        <w:tc>
          <w:tcPr>
            <w:tcW w:w="24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$2,202,598</w:t>
            </w: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$2,358,580</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as a % of Revenues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20.7%</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24.2%</w:t>
            </w:r>
          </w:p>
        </w:tc>
        <w:tc>
          <w:tcPr>
            <w:tcW w:w="120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23.0%</w:t>
            </w: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as a % of Revenues </w:t>
            </w:r>
            <w:r>
              <w:rPr>
                <w:rFonts w:ascii="Times New Roman" w:cs="Times New Roman" w:eastAsia="Times New Roman" w:hAnsi="Times New Roman"/>
                <w:sz w:val="23"/>
                <w:szCs w:val="23"/>
                <w:color w:val="auto"/>
                <w:vertAlign w:val="superscript"/>
              </w:rPr>
              <w:t>(1)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c>
          <w:tcPr>
            <w:tcW w:w="24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26.3%</w:t>
            </w:r>
          </w:p>
        </w:tc>
        <w:tc>
          <w:tcPr>
            <w:tcW w:w="1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24.7%</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Net Income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$98,486</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$258,913</w:t>
            </w:r>
          </w:p>
        </w:tc>
        <w:tc>
          <w:tcPr>
            <w:tcW w:w="12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$261,754</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Income as % of Revenues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242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11.8%</w:t>
            </w:r>
          </w:p>
        </w:tc>
        <w:tc>
          <w:tcPr>
            <w:tcW w:w="1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11.1%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 as % of Revenues</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16.1%</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rPr>
              <w:t>14.6%</w:t>
            </w:r>
          </w:p>
        </w:tc>
        <w:tc>
          <w:tcPr>
            <w:tcW w:w="120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8"/>
              </w:rPr>
              <w:t>13.1%</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$2,096,289</w:t>
            </w:r>
          </w:p>
        </w:tc>
        <w:tc>
          <w:tcPr>
            <w:tcW w:w="24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$2,037,228</w:t>
            </w: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$1,856,031</w:t>
            </w: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Earnings per Share </w:t>
            </w:r>
            <w:r>
              <w:rPr>
                <w:rFonts w:ascii="Times New Roman" w:cs="Times New Roman" w:eastAsia="Times New Roman" w:hAnsi="Times New Roman"/>
                <w:sz w:val="23"/>
                <w:szCs w:val="23"/>
                <w:color w:val="auto"/>
                <w:vertAlign w:val="superscript"/>
              </w:rPr>
              <w:t>(2)</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8"/>
              </w:rPr>
              <w:t>$8.33</w:t>
            </w:r>
          </w:p>
        </w:tc>
        <w:tc>
          <w:tcPr>
            <w:tcW w:w="12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8"/>
              </w:rPr>
              <w:t>$8.48</w:t>
            </w:r>
          </w:p>
        </w:tc>
      </w:tr>
      <w:tr>
        <w:trPr>
          <w:trHeight w:val="229"/>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w:t>
            </w:r>
            <w:r>
              <w:rPr>
                <w:rFonts w:ascii="Times New Roman" w:cs="Times New Roman" w:eastAsia="Times New Roman" w:hAnsi="Times New Roman"/>
                <w:sz w:val="23"/>
                <w:szCs w:val="23"/>
                <w:color w:val="auto"/>
                <w:vertAlign w:val="superscript"/>
              </w:rPr>
              <w:t>(2)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4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$8.30</w:t>
            </w:r>
          </w:p>
        </w:tc>
        <w:tc>
          <w:tcPr>
            <w:tcW w:w="12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$8.42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$42.96</w:t>
            </w:r>
          </w:p>
        </w:tc>
        <w:tc>
          <w:tcPr>
            <w:tcW w:w="242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6"/>
              </w:rPr>
              <w:t>$89.40</w:t>
            </w:r>
          </w:p>
        </w:tc>
        <w:tc>
          <w:tcPr>
            <w:tcW w:w="120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$133.16</w:t>
            </w:r>
          </w:p>
        </w:tc>
      </w:tr>
    </w:tbl>
    <w:p>
      <w:pPr>
        <w:spacing w:after="0" w:line="175" w:lineRule="exact"/>
        <w:rPr>
          <w:sz w:val="20"/>
          <w:szCs w:val="20"/>
          <w:color w:val="auto"/>
        </w:rPr>
      </w:pPr>
    </w:p>
    <w:p>
      <w:pPr>
        <w:jc w:val="both"/>
        <w:ind w:left="500" w:hanging="330"/>
        <w:spacing w:after="0" w:line="272"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Adjusted gross margin is a non-GAAP financial measure used by management as a supplemental measure in evaluating operating performance. Please see “Non-GAAP Measures - Adjusted Gross Margin” included as </w:t>
      </w:r>
      <w:r>
        <w:rPr>
          <w:rFonts w:ascii="Times New Roman" w:cs="Times New Roman" w:eastAsia="Times New Roman" w:hAnsi="Times New Roman"/>
          <w:sz w:val="16"/>
          <w:szCs w:val="16"/>
          <w:b w:val="1"/>
          <w:bCs w:val="1"/>
          <w:u w:val="single" w:color="auto"/>
          <w:color w:val="auto"/>
        </w:rPr>
        <w:t>Annex A</w:t>
      </w:r>
      <w:r>
        <w:rPr>
          <w:rFonts w:ascii="Times New Roman" w:cs="Times New Roman" w:eastAsia="Times New Roman" w:hAnsi="Times New Roman"/>
          <w:sz w:val="16"/>
          <w:szCs w:val="16"/>
          <w:color w:val="auto"/>
        </w:rPr>
        <w:t xml:space="preserve"> to this Proxy Statement for a reconciliation of adjusted gross margin to gross margin, which is the GAAP financial measure that our management believes to be most directly comparable.</w:t>
      </w:r>
    </w:p>
    <w:p>
      <w:pPr>
        <w:spacing w:after="0" w:line="60" w:lineRule="exact"/>
        <w:rPr>
          <w:rFonts w:ascii="Times New Roman" w:cs="Times New Roman" w:eastAsia="Times New Roman" w:hAnsi="Times New Roman"/>
          <w:sz w:val="16"/>
          <w:szCs w:val="16"/>
          <w:color w:val="auto"/>
        </w:rPr>
      </w:pPr>
    </w:p>
    <w:p>
      <w:pPr>
        <w:ind w:left="500" w:hanging="330"/>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 “Equity” to our consolidated financial statements included in our 2025 Annual Report for calculation of earnings per share</w:t>
      </w:r>
      <w:r>
        <w:rPr>
          <w:rFonts w:ascii="Times New Roman" w:cs="Times New Roman" w:eastAsia="Times New Roman" w:hAnsi="Times New Roman"/>
          <w:sz w:val="16"/>
          <w:szCs w:val="16"/>
          <w:i w:val="1"/>
          <w:iCs w:val="1"/>
          <w:color w:val="auto"/>
        </w:rPr>
        <w:t>.</w:t>
      </w:r>
    </w:p>
    <w:p>
      <w:pPr>
        <w:spacing w:after="0" w:line="128" w:lineRule="exact"/>
        <w:rPr>
          <w:rFonts w:ascii="Times New Roman" w:cs="Times New Roman" w:eastAsia="Times New Roman" w:hAnsi="Times New Roman"/>
          <w:sz w:val="16"/>
          <w:szCs w:val="16"/>
          <w:color w:val="auto"/>
        </w:rPr>
      </w:pPr>
    </w:p>
    <w:p>
      <w:pPr>
        <w:ind w:left="500" w:hanging="330"/>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sale of 103 previously leased single-family rental homes.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support our continued growth, we have diversified our lot position while maintaining our underwriting standards. We continually evaluate our lot position to ensure we can replace closed communities, expand our market share in current markets and support our geographic and price point expansion initiatives to sustain our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88900</wp:posOffset>
            </wp:positionV>
            <wp:extent cx="4732020" cy="5786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32020" cy="57867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COMPENSATION PRACTICES</w:t>
      </w:r>
    </w:p>
    <w:p>
      <w:pPr>
        <w:spacing w:after="0" w:line="12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Below we have highlighted certain executive compensation practices applicable to our NEOs that have been implemented to drive performance, and certain practices we have not implemented because we do not believe that they would serve our stockholders’ long-term interests.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What We Do</w:t>
      </w:r>
    </w:p>
    <w:p>
      <w:pPr>
        <w:spacing w:after="0" w:line="31" w:lineRule="exact"/>
        <w:rPr>
          <w:sz w:val="20"/>
          <w:szCs w:val="20"/>
          <w:color w:val="auto"/>
        </w:rPr>
      </w:pPr>
    </w:p>
    <w:p>
      <w:pPr>
        <w:ind w:left="720" w:right="6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 We align annual and long-term incentive opportunities with our annual operating plan, three-year strategic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stockholder interests.</w:t>
      </w:r>
    </w:p>
    <w:p>
      <w:pPr>
        <w:spacing w:after="0" w:line="6" w:lineRule="exact"/>
        <w:rPr>
          <w:sz w:val="20"/>
          <w:szCs w:val="20"/>
          <w:color w:val="auto"/>
        </w:rPr>
      </w:pPr>
    </w:p>
    <w:p>
      <w:pPr>
        <w:ind w:left="720" w:right="6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Mitigate Undue Risk </w:t>
      </w:r>
      <w:r>
        <w:rPr>
          <w:rFonts w:ascii="Times New Roman" w:cs="Times New Roman" w:eastAsia="Times New Roman" w:hAnsi="Times New Roman"/>
          <w:sz w:val="18"/>
          <w:szCs w:val="18"/>
          <w:color w:val="auto"/>
        </w:rPr>
        <w:t>- We utilize a mix of elements with multiple performance targets, cap potential payments, provide for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clawbacks, generally provide a three-year vesting period for restricted stock awards, and conduct an annual compensation risk</w:t>
      </w:r>
    </w:p>
    <w:p>
      <w:pPr>
        <w:ind w:left="720" w:right="640"/>
        <w:spacing w:after="0" w:line="226" w:lineRule="auto"/>
        <w:rPr>
          <w:sz w:val="20"/>
          <w:szCs w:val="20"/>
          <w:color w:val="auto"/>
        </w:rPr>
      </w:pPr>
      <w:r>
        <w:rPr>
          <w:rFonts w:ascii="Times New Roman" w:cs="Times New Roman" w:eastAsia="Times New Roman" w:hAnsi="Times New Roman"/>
          <w:sz w:val="18"/>
          <w:szCs w:val="18"/>
          <w:color w:val="auto"/>
        </w:rPr>
        <w:t>assessment analysis each year to validate our belief that our compensation programs will not have a material adverse effect on the Company.</w:t>
      </w:r>
    </w:p>
    <w:p>
      <w:pPr>
        <w:ind w:left="720" w:right="6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Align Total Compensation with the Median of Similarly- Sized Companies </w:t>
      </w:r>
      <w:r>
        <w:rPr>
          <w:rFonts w:ascii="Times New Roman" w:cs="Times New Roman" w:eastAsia="Times New Roman" w:hAnsi="Times New Roman"/>
          <w:sz w:val="18"/>
          <w:szCs w:val="18"/>
          <w:color w:val="auto"/>
        </w:rPr>
        <w:t>- We position the target total direct compensation levels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NEOs within the range of the median for the general industry.</w:t>
      </w:r>
    </w:p>
    <w:p>
      <w:pPr>
        <w:spacing w:after="0" w:line="6" w:lineRule="exact"/>
        <w:rPr>
          <w:sz w:val="20"/>
          <w:szCs w:val="20"/>
          <w:color w:val="auto"/>
        </w:rPr>
      </w:pPr>
    </w:p>
    <w:p>
      <w:pPr>
        <w:ind w:left="720" w:right="6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Evaluate Total Compensation </w:t>
      </w:r>
      <w:r>
        <w:rPr>
          <w:rFonts w:ascii="Times New Roman" w:cs="Times New Roman" w:eastAsia="Times New Roman" w:hAnsi="Times New Roman"/>
          <w:sz w:val="18"/>
          <w:szCs w:val="18"/>
          <w:color w:val="auto"/>
        </w:rPr>
        <w:t>- We utilize tally sheets to evaluate our NEOs’ total compensation program, including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and long-term compensation opportunity and to evaluate alignment with our NEO retention objectives.</w:t>
      </w:r>
    </w:p>
    <w:p>
      <w:pPr>
        <w:spacing w:after="0" w:line="6" w:lineRule="exact"/>
        <w:rPr>
          <w:sz w:val="20"/>
          <w:szCs w:val="20"/>
          <w:color w:val="auto"/>
        </w:rPr>
      </w:pPr>
    </w:p>
    <w:p>
      <w:pPr>
        <w:ind w:left="720" w:right="6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Independent Compensation Consulting Firm </w:t>
      </w:r>
      <w:r>
        <w:rPr>
          <w:rFonts w:ascii="Times New Roman" w:cs="Times New Roman" w:eastAsia="Times New Roman" w:hAnsi="Times New Roman"/>
          <w:sz w:val="18"/>
          <w:szCs w:val="18"/>
          <w:color w:val="auto"/>
        </w:rPr>
        <w:t>- The Compensation Committee retains an independent compensation consulting firm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advisory services.</w:t>
      </w:r>
    </w:p>
    <w:p>
      <w:pPr>
        <w:spacing w:after="0" w:line="6" w:lineRule="exact"/>
        <w:rPr>
          <w:sz w:val="20"/>
          <w:szCs w:val="20"/>
          <w:color w:val="auto"/>
        </w:rPr>
      </w:pPr>
    </w:p>
    <w:p>
      <w:pPr>
        <w:jc w:val="both"/>
        <w:ind w:left="720" w:right="6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Reasonable Change in Control Provisions for Equity Awards </w:t>
      </w:r>
      <w:r>
        <w:rPr>
          <w:rFonts w:ascii="Times New Roman" w:cs="Times New Roman" w:eastAsia="Times New Roman" w:hAnsi="Times New Roman"/>
          <w:sz w:val="18"/>
          <w:szCs w:val="18"/>
          <w:color w:val="auto"/>
        </w:rPr>
        <w:t>- We believe we have reasonable change in control provisions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awards that generally apply to directors and executive officers in the same manner as the applicable broader employee population.</w:t>
      </w:r>
    </w:p>
    <w:p>
      <w:pPr>
        <w:ind w:left="720"/>
        <w:spacing w:after="0"/>
        <w:rPr>
          <w:sz w:val="20"/>
          <w:szCs w:val="20"/>
          <w:color w:val="auto"/>
        </w:rPr>
      </w:pPr>
      <w:r>
        <w:rPr>
          <w:rFonts w:ascii="Times New Roman" w:cs="Times New Roman" w:eastAsia="Times New Roman" w:hAnsi="Times New Roman"/>
          <w:sz w:val="18"/>
          <w:szCs w:val="18"/>
          <w:color w:val="auto"/>
        </w:rPr>
        <w:t>We have entered into Change in Control Severance Agreements with each of the NEOs and certain other officers of the Company.</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 We have adopted stock ownership guidelines for our directors and executive officers.</w:t>
      </w:r>
    </w:p>
    <w:p>
      <w:pPr>
        <w:spacing w:after="0" w:line="23" w:lineRule="exact"/>
        <w:rPr>
          <w:sz w:val="20"/>
          <w:szCs w:val="20"/>
          <w:color w:val="auto"/>
        </w:rPr>
      </w:pPr>
    </w:p>
    <w:p>
      <w:pPr>
        <w:ind w:left="720" w:right="6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Clawback Policy - </w:t>
      </w:r>
      <w:r>
        <w:rPr>
          <w:rFonts w:ascii="Times New Roman" w:cs="Times New Roman" w:eastAsia="Times New Roman" w:hAnsi="Times New Roman"/>
          <w:sz w:val="18"/>
          <w:szCs w:val="18"/>
          <w:color w:val="auto"/>
        </w:rPr>
        <w:t>We have adopted a clawback policy for incentive compensation paid to current and former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final rules promulgated by the SEC and NASDAQ listing standards.</w:t>
      </w:r>
    </w:p>
    <w:p>
      <w:pPr>
        <w:spacing w:after="0" w:line="6" w:lineRule="exact"/>
        <w:rPr>
          <w:sz w:val="20"/>
          <w:szCs w:val="20"/>
          <w:color w:val="auto"/>
        </w:rPr>
      </w:pPr>
    </w:p>
    <w:p>
      <w:pPr>
        <w:ind w:left="720" w:right="64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Modest Perquisites </w:t>
      </w:r>
      <w:r>
        <w:rPr>
          <w:rFonts w:ascii="Times New Roman" w:cs="Times New Roman" w:eastAsia="Times New Roman" w:hAnsi="Times New Roman"/>
          <w:sz w:val="18"/>
          <w:szCs w:val="18"/>
          <w:color w:val="auto"/>
        </w:rPr>
        <w:t>- Perquisites are modest and limited to those that have sound benefit to the Company’s business and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to all salaried employees.</w:t>
      </w:r>
    </w:p>
    <w:p>
      <w:pPr>
        <w:spacing w:after="0" w:line="6" w:lineRule="exact"/>
        <w:rPr>
          <w:sz w:val="20"/>
          <w:szCs w:val="20"/>
          <w:color w:val="auto"/>
        </w:rPr>
      </w:pPr>
    </w:p>
    <w:p>
      <w:pPr>
        <w:ind w:left="720" w:right="64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Regular Review of Share Utilization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share utilization by reviewing overhang levels (dilutive impact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on our stockholders) and annual run rates (the aggregate shares awarded as a percentage of total shares outstanding).</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p>
    <w:p>
      <w:pPr>
        <w:spacing w:after="0" w:line="31" w:lineRule="exact"/>
        <w:rPr>
          <w:sz w:val="20"/>
          <w:szCs w:val="20"/>
          <w:color w:val="auto"/>
        </w:rPr>
      </w:pPr>
    </w:p>
    <w:p>
      <w:pPr>
        <w:ind w:left="720" w:right="640"/>
        <w:spacing w:after="0" w:line="220" w:lineRule="auto"/>
        <w:rPr>
          <w:sz w:val="20"/>
          <w:szCs w:val="20"/>
          <w:color w:val="auto"/>
        </w:rPr>
      </w:pPr>
      <w:r>
        <w:rPr>
          <w:rFonts w:ascii="Times New Roman" w:cs="Times New Roman" w:eastAsia="Times New Roman" w:hAnsi="Times New Roman"/>
          <w:sz w:val="18"/>
          <w:szCs w:val="18"/>
          <w:color w:val="auto"/>
        </w:rPr>
        <w:t>No Hedging. Our Insider Trading Policy prohibits directors, officers and employees from using strategies or products (such as derivative securities or short-selling techniques) to hedge against the potential decrease of any of our securities, including shares of common stock</w:t>
      </w:r>
    </w:p>
    <w:p>
      <w:pPr>
        <w:ind w:left="720"/>
        <w:spacing w:after="0"/>
        <w:rPr>
          <w:sz w:val="20"/>
          <w:szCs w:val="20"/>
          <w:color w:val="auto"/>
        </w:rPr>
      </w:pPr>
      <w:r>
        <w:rPr>
          <w:rFonts w:ascii="Times New Roman" w:cs="Times New Roman" w:eastAsia="Times New Roman" w:hAnsi="Times New Roman"/>
          <w:sz w:val="18"/>
          <w:szCs w:val="18"/>
          <w:color w:val="auto"/>
        </w:rPr>
        <w:t>and equity awards.</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tax gross-ups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share recycling, stock option reloading or evergreen provisions in our equity plan</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repricing of underwater stock options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loans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 defined benefit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Pay is Tied to Performance</w:t>
      </w:r>
    </w:p>
    <w:p>
      <w:pPr>
        <w:spacing w:after="0" w:line="121" w:lineRule="exact"/>
        <w:rPr>
          <w:sz w:val="20"/>
          <w:szCs w:val="20"/>
          <w:color w:val="auto"/>
        </w:rPr>
      </w:pPr>
    </w:p>
    <w:p>
      <w:pPr>
        <w:jc w:val="both"/>
        <w:ind w:firstLine="185"/>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directly links the majority of executive compensation opportunity to our financial performance through annual and long-term incentives. The Target Compensation Mix charts below describe each of the compensation elements for the CEO and other NEOs for 2025 as a percentage of total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54610</wp:posOffset>
            </wp:positionV>
            <wp:extent cx="4440555" cy="263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4055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Compensation Mix</w:t>
      </w:r>
    </w:p>
    <w:p>
      <w:pPr>
        <w:spacing w:after="0" w:line="121" w:lineRule="exact"/>
        <w:rPr>
          <w:sz w:val="20"/>
          <w:szCs w:val="20"/>
          <w:color w:val="auto"/>
        </w:rPr>
      </w:pPr>
    </w:p>
    <w:p>
      <w:pPr>
        <w:jc w:val="both"/>
        <w:ind w:firstLine="188"/>
        <w:spacing w:after="0" w:line="261" w:lineRule="auto"/>
        <w:rPr>
          <w:sz w:val="20"/>
          <w:szCs w:val="20"/>
          <w:color w:val="auto"/>
        </w:rPr>
      </w:pPr>
      <w:r>
        <w:rPr>
          <w:rFonts w:ascii="Times New Roman" w:cs="Times New Roman" w:eastAsia="Times New Roman" w:hAnsi="Times New Roman"/>
          <w:sz w:val="18"/>
          <w:szCs w:val="18"/>
          <w:color w:val="auto"/>
        </w:rPr>
        <w:t>The elements of the NEO compensation program have remained relatively consistent year to year, with target compensation allocated between fixed and variable, cash and non-cash and short-term or long-term components. The Target Compensation Mix charts above include 2025 base salary and award opportunities related to annual and long-term incentive compensation, granted in or with respect to fiscal 2025 and valued at target levels, and do not include any amounts paid with respect to prior years’ incentive award grants.</w:t>
      </w:r>
    </w:p>
    <w:p>
      <w:pPr>
        <w:spacing w:after="0" w:line="7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value of our RSUs and PSUs is directly linked to LGI’s stock performance; the settlement value of the PSUs is dependent on our basic earnings per share (“EPS”) for the three-year performance period as discussed under “What We Paid and Why - Compensation for NEOs - 2025 LTI Program”. Including the annual incentive cash bonus which is dependent on our home closings and financial performance for 2025, these three performance-linked components constitute approximately 85% and 73%, of the total target direct compensation of our CEO and our three other NEOs (on average),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 of Our Executive Compensation Program</w:t>
      </w:r>
    </w:p>
    <w:p>
      <w:pPr>
        <w:spacing w:after="0" w:line="121" w:lineRule="exact"/>
        <w:rPr>
          <w:sz w:val="20"/>
          <w:szCs w:val="20"/>
          <w:color w:val="auto"/>
        </w:rPr>
      </w:pPr>
    </w:p>
    <w:p>
      <w:pPr>
        <w:jc w:val="both"/>
        <w:ind w:firstLine="185"/>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directly links a substantial portion of annual executive compensation to our performance. These plans are designed to deliver highly competitive compensation for superior company performance. Likewise, when company performance falls short of expectations, these variable incentive programs deliver lower levels of compensation. However, the Compensation Committee endeavors to balance pay for performance objectives with retention considerations so that, even during a temporary downturn in the economy and the homebuilding industry, the program continues to ensure that qualified, successful, performance-driven employees stay committed to increasing our long-term value. Furthermore, to attract and retain highly skilled management, our executive compensation program must remain competitive with those of comparable employers who compete with us for talent.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Principles</w:t>
      </w:r>
    </w:p>
    <w:p>
      <w:pPr>
        <w:spacing w:after="0" w:line="121" w:lineRule="exact"/>
        <w:rPr>
          <w:sz w:val="20"/>
          <w:szCs w:val="20"/>
          <w:color w:val="auto"/>
        </w:rPr>
      </w:pPr>
    </w:p>
    <w:p>
      <w:pPr>
        <w:ind w:right="20" w:firstLine="191"/>
        <w:spacing w:after="0" w:line="282" w:lineRule="auto"/>
        <w:rPr>
          <w:sz w:val="20"/>
          <w:szCs w:val="20"/>
          <w:color w:val="auto"/>
        </w:rPr>
      </w:pPr>
      <w:r>
        <w:rPr>
          <w:rFonts w:ascii="Times New Roman" w:cs="Times New Roman" w:eastAsia="Times New Roman" w:hAnsi="Times New Roman"/>
          <w:sz w:val="18"/>
          <w:szCs w:val="18"/>
          <w:color w:val="auto"/>
        </w:rPr>
        <w:t>We use the following key principles as the framework for our executive compensation philosophy to attract, develop and retain business leaders to drive financial and strategic growth and build long-term stockholder value:</w:t>
      </w:r>
    </w:p>
    <w:p>
      <w:pPr>
        <w:spacing w:after="0" w:line="50" w:lineRule="exact"/>
        <w:rPr>
          <w:sz w:val="20"/>
          <w:szCs w:val="20"/>
          <w:color w:val="auto"/>
        </w:rPr>
      </w:pPr>
    </w:p>
    <w:p>
      <w:pPr>
        <w:jc w:val="both"/>
        <w:ind w:left="820" w:right="20" w:hanging="326"/>
        <w:spacing w:after="0" w:line="268" w:lineRule="auto"/>
        <w:tabs>
          <w:tab w:leader="none" w:pos="8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 for Performance: </w:t>
      </w:r>
      <w:r>
        <w:rPr>
          <w:rFonts w:ascii="Times New Roman" w:cs="Times New Roman" w:eastAsia="Times New Roman" w:hAnsi="Times New Roman"/>
          <w:sz w:val="18"/>
          <w:szCs w:val="18"/>
          <w:color w:val="auto"/>
        </w:rPr>
        <w:t>Provide base salaries that reflect each NEO’s background, experience, and performance, combined with variable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compensation that rewards executives when superior performance is achieved, while subpar performance results in compensation below that of market benchmarks;</w:t>
      </w:r>
    </w:p>
    <w:p>
      <w:pPr>
        <w:spacing w:after="0" w:line="62" w:lineRule="exact"/>
        <w:rPr>
          <w:rFonts w:ascii="Times New Roman" w:cs="Times New Roman" w:eastAsia="Times New Roman" w:hAnsi="Times New Roman"/>
          <w:sz w:val="18"/>
          <w:szCs w:val="18"/>
          <w:b w:val="1"/>
          <w:bCs w:val="1"/>
          <w:color w:val="auto"/>
        </w:rPr>
      </w:pPr>
    </w:p>
    <w:p>
      <w:pPr>
        <w:ind w:left="820" w:right="20" w:hanging="326"/>
        <w:spacing w:after="0" w:line="28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Competitiveness and Retention: </w:t>
      </w:r>
      <w:r>
        <w:rPr>
          <w:rFonts w:ascii="Times New Roman" w:cs="Times New Roman" w:eastAsia="Times New Roman" w:hAnsi="Times New Roman"/>
          <w:sz w:val="18"/>
          <w:szCs w:val="18"/>
          <w:color w:val="auto"/>
        </w:rPr>
        <w:t>Provide competitive pay opportunities that attract and retain the highest quality professionals and reward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loyalty;</w:t>
      </w:r>
    </w:p>
    <w:p>
      <w:pPr>
        <w:spacing w:after="0" w:line="46" w:lineRule="exact"/>
        <w:rPr>
          <w:rFonts w:ascii="Times New Roman" w:cs="Times New Roman" w:eastAsia="Times New Roman" w:hAnsi="Times New Roman"/>
          <w:sz w:val="18"/>
          <w:szCs w:val="18"/>
          <w:color w:val="auto"/>
        </w:rPr>
      </w:pPr>
    </w:p>
    <w:p>
      <w:pPr>
        <w:ind w:left="820" w:right="20" w:hanging="326"/>
        <w:spacing w:after="0" w:line="28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Accountability for Short- and Long-term Performance: </w:t>
      </w:r>
      <w:r>
        <w:rPr>
          <w:rFonts w:ascii="Times New Roman" w:cs="Times New Roman" w:eastAsia="Times New Roman" w:hAnsi="Times New Roman"/>
          <w:sz w:val="18"/>
          <w:szCs w:val="18"/>
          <w:color w:val="auto"/>
        </w:rPr>
        <w:t>Strike an appropriate balance between achieving both short-term and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objectives through compensation awards; and</w:t>
      </w:r>
    </w:p>
    <w:p>
      <w:pPr>
        <w:spacing w:after="0" w:line="46" w:lineRule="exact"/>
        <w:rPr>
          <w:rFonts w:ascii="Times New Roman" w:cs="Times New Roman" w:eastAsia="Times New Roman" w:hAnsi="Times New Roman"/>
          <w:sz w:val="18"/>
          <w:szCs w:val="18"/>
          <w:color w:val="auto"/>
        </w:rPr>
      </w:pPr>
    </w:p>
    <w:p>
      <w:pPr>
        <w:ind w:left="820" w:right="20" w:hanging="326"/>
        <w:spacing w:after="0" w:line="286" w:lineRule="auto"/>
        <w:tabs>
          <w:tab w:leader="none" w:pos="8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Alignment of Stockholders’ Interests: </w:t>
      </w:r>
      <w:r>
        <w:rPr>
          <w:rFonts w:ascii="Times New Roman" w:cs="Times New Roman" w:eastAsia="Times New Roman" w:hAnsi="Times New Roman"/>
          <w:sz w:val="18"/>
          <w:szCs w:val="18"/>
          <w:color w:val="auto"/>
        </w:rPr>
        <w:t>Link the interests of our executive officers with those of our stockholders through significant equity-based compensation.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and Objectives of Our Compensation Program</w:t>
      </w:r>
    </w:p>
    <w:p>
      <w:pPr>
        <w:spacing w:after="0" w:line="121" w:lineRule="exact"/>
        <w:rPr>
          <w:sz w:val="20"/>
          <w:szCs w:val="20"/>
          <w:color w:val="auto"/>
        </w:rPr>
      </w:pPr>
    </w:p>
    <w:p>
      <w:pPr>
        <w:jc w:val="both"/>
        <w:ind w:right="20" w:firstLine="258"/>
        <w:spacing w:after="0" w:line="266" w:lineRule="auto"/>
        <w:rPr>
          <w:sz w:val="20"/>
          <w:szCs w:val="20"/>
          <w:color w:val="auto"/>
        </w:rPr>
      </w:pPr>
      <w:r>
        <w:rPr>
          <w:rFonts w:ascii="Times New Roman" w:cs="Times New Roman" w:eastAsia="Times New Roman" w:hAnsi="Times New Roman"/>
          <w:sz w:val="18"/>
          <w:szCs w:val="18"/>
          <w:color w:val="auto"/>
        </w:rPr>
        <w:t>The Compensation Committee has built our executive compensation program upon a framework that includes the components and objectives listed below. The Compensation Committee routinely reviews each component of the executive compensation program to see how it affects target total pay levels and considers pay ranges for similar executive positions among the median of similarly-sized companies.</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7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316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Objective of Element</w:t>
            </w:r>
          </w:p>
        </w:tc>
        <w:tc>
          <w:tcPr>
            <w:tcW w:w="3880" w:type="dxa"/>
            <w:vAlign w:val="bottom"/>
            <w:tcBorders>
              <w:top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72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Annual Cash</w:t>
            </w:r>
          </w:p>
        </w:tc>
        <w:tc>
          <w:tcPr>
            <w:tcW w:w="2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1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To provide an appropriate base salary</w:t>
            </w:r>
          </w:p>
        </w:tc>
        <w:tc>
          <w:tcPr>
            <w:tcW w:w="38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salaries are set at market competitive levels,</w:t>
            </w:r>
          </w:p>
        </w:tc>
        <w:tc>
          <w:tcPr>
            <w:tcW w:w="0" w:type="dxa"/>
            <w:vAlign w:val="bottom"/>
          </w:tcPr>
          <w:p>
            <w:pPr>
              <w:spacing w:after="0"/>
              <w:rPr>
                <w:sz w:val="1"/>
                <w:szCs w:val="1"/>
                <w:color w:val="auto"/>
              </w:rPr>
            </w:pPr>
          </w:p>
        </w:tc>
      </w:tr>
      <w:tr>
        <w:trPr>
          <w:trHeight w:val="184"/>
        </w:trPr>
        <w:tc>
          <w:tcPr>
            <w:tcW w:w="172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Compensation</w:t>
            </w:r>
          </w:p>
        </w:tc>
        <w:tc>
          <w:tcPr>
            <w:tcW w:w="250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mitigating inappropriate risk-taking by</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subject to adjustment for a number of other factors</w:t>
            </w: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providing a fixed and certain level of</w:t>
            </w: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such as merit increases, unique job responsibilities,</w:t>
            </w:r>
          </w:p>
        </w:tc>
        <w:tc>
          <w:tcPr>
            <w:tcW w:w="0" w:type="dxa"/>
            <w:vAlign w:val="bottom"/>
          </w:tcPr>
          <w:p>
            <w:pPr>
              <w:spacing w:after="0"/>
              <w:rPr>
                <w:sz w:val="1"/>
                <w:szCs w:val="1"/>
                <w:color w:val="auto"/>
              </w:rPr>
            </w:pPr>
          </w:p>
        </w:tc>
      </w:tr>
      <w:tr>
        <w:trPr>
          <w:trHeight w:val="176"/>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income, paid bi-weekly.</w:t>
            </w: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experience, individual contributions and number of</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in the position.</w:t>
            </w:r>
          </w:p>
        </w:tc>
        <w:tc>
          <w:tcPr>
            <w:tcW w:w="0" w:type="dxa"/>
            <w:vAlign w:val="bottom"/>
          </w:tcPr>
          <w:p>
            <w:pPr>
              <w:spacing w:after="0"/>
              <w:rPr>
                <w:sz w:val="1"/>
                <w:szCs w:val="1"/>
                <w:color w:val="auto"/>
              </w:rPr>
            </w:pPr>
          </w:p>
        </w:tc>
      </w:tr>
      <w:tr>
        <w:trPr>
          <w:trHeight w:val="441"/>
        </w:trPr>
        <w:tc>
          <w:tcPr>
            <w:tcW w:w="1720" w:type="dxa"/>
            <w:vAlign w:val="bottom"/>
            <w:tcBorders>
              <w:left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20" w:type="dxa"/>
            <w:vAlign w:val="bottom"/>
            <w:tcBorders>
              <w:left w:val="single" w:sz="8" w:color="auto"/>
              <w:right w:val="single" w:sz="8" w:color="auto"/>
            </w:tcBorders>
          </w:tcPr>
          <w:p>
            <w:pPr>
              <w:spacing w:after="0"/>
              <w:rPr>
                <w:sz w:val="14"/>
                <w:szCs w:val="14"/>
                <w:color w:val="auto"/>
              </w:rPr>
            </w:pPr>
          </w:p>
        </w:tc>
        <w:tc>
          <w:tcPr>
            <w:tcW w:w="25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Cash Bonus - Short-term</w:t>
            </w:r>
          </w:p>
        </w:tc>
        <w:tc>
          <w:tcPr>
            <w:tcW w:w="31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To incentivize and reward performance on</w:t>
            </w:r>
          </w:p>
        </w:tc>
        <w:tc>
          <w:tcPr>
            <w:tcW w:w="38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Designed to offer opportunities for cash</w:t>
            </w:r>
          </w:p>
        </w:tc>
        <w:tc>
          <w:tcPr>
            <w:tcW w:w="0" w:type="dxa"/>
            <w:vAlign w:val="bottom"/>
          </w:tcPr>
          <w:p>
            <w:pPr>
              <w:spacing w:after="0"/>
              <w:rPr>
                <w:sz w:val="1"/>
                <w:szCs w:val="1"/>
                <w:color w:val="auto"/>
              </w:rPr>
            </w:pPr>
          </w:p>
        </w:tc>
      </w:tr>
      <w:tr>
        <w:trPr>
          <w:trHeight w:val="184"/>
        </w:trPr>
        <w:tc>
          <w:tcPr>
            <w:tcW w:w="1720" w:type="dxa"/>
            <w:vAlign w:val="bottom"/>
            <w:tcBorders>
              <w:left w:val="single" w:sz="8" w:color="auto"/>
              <w:right w:val="single" w:sz="8" w:color="auto"/>
            </w:tcBorders>
          </w:tcPr>
          <w:p>
            <w:pPr>
              <w:spacing w:after="0"/>
              <w:rPr>
                <w:sz w:val="16"/>
                <w:szCs w:val="16"/>
                <w:color w:val="auto"/>
              </w:rPr>
            </w:pPr>
          </w:p>
        </w:tc>
        <w:tc>
          <w:tcPr>
            <w:tcW w:w="25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Incentive (“STI”) Compensation</w:t>
            </w:r>
          </w:p>
        </w:tc>
        <w:tc>
          <w:tcPr>
            <w:tcW w:w="31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key metrics that support the Company’s</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directly tied to Company performance</w:t>
            </w: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annual operating plan.</w:t>
            </w: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relative to established performance targets that the</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Promote Pay for Performance in a</w:t>
            </w: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Committee ultimately believes create</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vMerge w:val="continue"/>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stockholder value. Annual cash bonus payouts may</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competitive way.</w:t>
            </w:r>
          </w:p>
        </w:tc>
        <w:tc>
          <w:tcPr>
            <w:tcW w:w="38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range from 0% to 200% of the target bonus, based</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Generally comparable to incentive ranges</w:t>
            </w: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on performance relative to the designated targets.</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vMerge w:val="continue"/>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(See “What We Paid and Why - Compensation for</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among the median of similarly-sized</w:t>
            </w:r>
          </w:p>
        </w:tc>
        <w:tc>
          <w:tcPr>
            <w:tcW w:w="38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NEOs” below.) We pay the annual cash bonus</w:t>
            </w:r>
          </w:p>
        </w:tc>
        <w:tc>
          <w:tcPr>
            <w:tcW w:w="0" w:type="dxa"/>
            <w:vAlign w:val="bottom"/>
          </w:tcPr>
          <w:p>
            <w:pPr>
              <w:spacing w:after="0"/>
              <w:rPr>
                <w:sz w:val="1"/>
                <w:szCs w:val="1"/>
                <w:color w:val="auto"/>
              </w:rPr>
            </w:pPr>
          </w:p>
        </w:tc>
      </w:tr>
      <w:tr>
        <w:trPr>
          <w:trHeight w:val="175"/>
        </w:trPr>
        <w:tc>
          <w:tcPr>
            <w:tcW w:w="1720" w:type="dxa"/>
            <w:vAlign w:val="bottom"/>
            <w:tcBorders>
              <w:left w:val="single" w:sz="8" w:color="auto"/>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316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companies based upon achieving specified</w:t>
            </w: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during the first quarter for performance during the</w:t>
            </w: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performance goals.</w:t>
            </w: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prior fiscal year.</w:t>
            </w:r>
          </w:p>
        </w:tc>
        <w:tc>
          <w:tcPr>
            <w:tcW w:w="0" w:type="dxa"/>
            <w:vAlign w:val="bottom"/>
          </w:tcPr>
          <w:p>
            <w:pPr>
              <w:spacing w:after="0"/>
              <w:rPr>
                <w:sz w:val="1"/>
                <w:szCs w:val="1"/>
                <w:color w:val="auto"/>
              </w:rPr>
            </w:pPr>
          </w:p>
        </w:tc>
      </w:tr>
      <w:tr>
        <w:trPr>
          <w:trHeight w:val="1089"/>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7" w:name="page38"/>
    <w:bookmarkEnd w:id="37"/>
    <w:p>
      <w:pPr>
        <w:spacing w:after="0" w:line="200" w:lineRule="exact"/>
        <w:rPr>
          <w:sz w:val="20"/>
          <w:szCs w:val="20"/>
          <w:color w:val="auto"/>
        </w:rPr>
      </w:pPr>
    </w:p>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46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3080" w:type="dxa"/>
            <w:vAlign w:val="bottom"/>
            <w:tcBorders>
              <w:top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Objective of Element</w:t>
            </w:r>
          </w:p>
        </w:tc>
        <w:tc>
          <w:tcPr>
            <w:tcW w:w="3880" w:type="dxa"/>
            <w:vAlign w:val="bottom"/>
            <w:tcBorders>
              <w:top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w:t>
            </w:r>
          </w:p>
        </w:tc>
        <w:tc>
          <w:tcPr>
            <w:tcW w:w="24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Performance-based Restricted</w:t>
            </w:r>
          </w:p>
        </w:tc>
        <w:tc>
          <w:tcPr>
            <w:tcW w:w="30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 strengthen alignment with</w:t>
            </w:r>
          </w:p>
        </w:tc>
        <w:tc>
          <w:tcPr>
            <w:tcW w:w="38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compensation opportunity under the PSUs has a</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(“LTI”)</w:t>
            </w:r>
          </w:p>
        </w:tc>
        <w:tc>
          <w:tcPr>
            <w:tcW w:w="24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Stock Units (PSUs)</w:t>
            </w:r>
          </w:p>
        </w:tc>
        <w:tc>
          <w:tcPr>
            <w:tcW w:w="30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stockholders’ interests, 80% of the LTI is</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period of three years based on the</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Compensation</w:t>
            </w: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performance-based.</w:t>
            </w: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Company’s cumulative basic earnings per share</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EPS”) over that period compared to the pre-</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established targets. The PSU payout may range from</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0% to 200% of the target amount based on actual</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results as compared to the target and absolute total</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stockholder return over the performance period. (See</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“What We Paid and Why - Compensation for NEOs</w:t>
            </w:r>
          </w:p>
        </w:tc>
        <w:tc>
          <w:tcPr>
            <w:tcW w:w="0" w:type="dxa"/>
            <w:vAlign w:val="bottom"/>
          </w:tcPr>
          <w:p>
            <w:pPr>
              <w:spacing w:after="0"/>
              <w:rPr>
                <w:sz w:val="1"/>
                <w:szCs w:val="1"/>
                <w:color w:val="auto"/>
              </w:rPr>
            </w:pPr>
          </w:p>
        </w:tc>
      </w:tr>
      <w:tr>
        <w:trPr>
          <w:trHeight w:val="176"/>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- 2025 LTI Program” below for a description of the</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PSU program.)</w:t>
            </w:r>
          </w:p>
        </w:tc>
        <w:tc>
          <w:tcPr>
            <w:tcW w:w="0" w:type="dxa"/>
            <w:vAlign w:val="bottom"/>
          </w:tcPr>
          <w:p>
            <w:pPr>
              <w:spacing w:after="0"/>
              <w:rPr>
                <w:sz w:val="1"/>
                <w:szCs w:val="1"/>
                <w:color w:val="auto"/>
              </w:rPr>
            </w:pPr>
          </w:p>
        </w:tc>
      </w:tr>
      <w:tr>
        <w:trPr>
          <w:trHeight w:val="927"/>
        </w:trPr>
        <w:tc>
          <w:tcPr>
            <w:tcW w:w="1840" w:type="dxa"/>
            <w:vAlign w:val="bottom"/>
            <w:tcBorders>
              <w:left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spacing w:after="0"/>
              <w:rPr>
                <w:sz w:val="14"/>
                <w:szCs w:val="14"/>
                <w:color w:val="auto"/>
              </w:rPr>
            </w:pPr>
          </w:p>
        </w:tc>
        <w:tc>
          <w:tcPr>
            <w:tcW w:w="246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Restricted Stock Units (RSUs)</w:t>
            </w:r>
          </w:p>
        </w:tc>
        <w:tc>
          <w:tcPr>
            <w:tcW w:w="30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To encourage retention of the</w:t>
            </w:r>
          </w:p>
        </w:tc>
        <w:tc>
          <w:tcPr>
            <w:tcW w:w="38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This component provides an additional fixed level of</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management team.</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compensation to balance out the</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Focus executives on multi-year activities</w:t>
            </w: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incentive-based compensation and to further align</w:t>
            </w: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vMerge w:val="continue"/>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executive officers’ interests with stockholder value</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that increase stockholder value.</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creation. The RSUs vest on the third anniversary of</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grant date.</w:t>
            </w:r>
          </w:p>
        </w:tc>
        <w:tc>
          <w:tcPr>
            <w:tcW w:w="0" w:type="dxa"/>
            <w:vAlign w:val="bottom"/>
          </w:tcPr>
          <w:p>
            <w:pPr>
              <w:spacing w:after="0"/>
              <w:rPr>
                <w:sz w:val="1"/>
                <w:szCs w:val="1"/>
                <w:color w:val="auto"/>
              </w:rPr>
            </w:pPr>
          </w:p>
        </w:tc>
      </w:tr>
      <w:tr>
        <w:trPr>
          <w:trHeight w:val="364"/>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Retirement and other</w:t>
            </w:r>
          </w:p>
        </w:tc>
        <w:tc>
          <w:tcPr>
            <w:tcW w:w="24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To provide competitive benefits to protect</w:t>
            </w:r>
          </w:p>
        </w:tc>
        <w:tc>
          <w:tcPr>
            <w:tcW w:w="38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Executive officers, including NEOs, are eligible to</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Perquisites</w:t>
            </w: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the employees and their covered</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participate in the same benefit programs that are</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dependents’ health and welfare, to</w:t>
            </w: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offered to other salaried employees, including the</w:t>
            </w: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facilitate strong performance on the job,</w:t>
            </w: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401k Plan match, participating in the ESPP, auto</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and enhance productivity.</w:t>
            </w: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allowances for positions requiring frequent travel,</w:t>
            </w:r>
          </w:p>
        </w:tc>
        <w:tc>
          <w:tcPr>
            <w:tcW w:w="0" w:type="dxa"/>
            <w:vAlign w:val="bottom"/>
          </w:tcPr>
          <w:p>
            <w:pPr>
              <w:spacing w:after="0"/>
              <w:rPr>
                <w:sz w:val="1"/>
                <w:szCs w:val="1"/>
                <w:color w:val="auto"/>
              </w:rPr>
            </w:pPr>
          </w:p>
        </w:tc>
      </w:tr>
      <w:tr>
        <w:trPr>
          <w:trHeight w:val="180"/>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short-term and long-term disability coverage, and</w:t>
            </w: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right w:val="single" w:sz="8" w:color="auto"/>
            </w:tcBorders>
          </w:tcPr>
          <w:p>
            <w:pPr>
              <w:spacing w:after="0"/>
              <w:rPr>
                <w:sz w:val="15"/>
                <w:szCs w:val="15"/>
                <w:color w:val="auto"/>
              </w:rPr>
            </w:pPr>
          </w:p>
        </w:tc>
        <w:tc>
          <w:tcPr>
            <w:tcW w:w="24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38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participation in health and welfare plans. Other</w:t>
            </w:r>
          </w:p>
        </w:tc>
        <w:tc>
          <w:tcPr>
            <w:tcW w:w="0" w:type="dxa"/>
            <w:vAlign w:val="bottom"/>
          </w:tcPr>
          <w:p>
            <w:pPr>
              <w:spacing w:after="0"/>
              <w:rPr>
                <w:sz w:val="1"/>
                <w:szCs w:val="1"/>
                <w:color w:val="auto"/>
              </w:rPr>
            </w:pPr>
          </w:p>
        </w:tc>
      </w:tr>
      <w:tr>
        <w:trPr>
          <w:trHeight w:val="184"/>
        </w:trPr>
        <w:tc>
          <w:tcPr>
            <w:tcW w:w="18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8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limited perquisites are provided to the NEOs; see the</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Summary Executive Compensation Table below.</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Executive Pay is Established</w:t>
      </w:r>
    </w:p>
    <w:p>
      <w:pPr>
        <w:spacing w:after="0" w:line="175" w:lineRule="exact"/>
        <w:rPr>
          <w:sz w:val="20"/>
          <w:szCs w:val="20"/>
          <w:color w:val="auto"/>
        </w:rPr>
      </w:pPr>
    </w:p>
    <w:p>
      <w:pPr>
        <w:jc w:val="both"/>
        <w:ind w:right="20" w:firstLine="213"/>
        <w:spacing w:after="0" w:line="256" w:lineRule="auto"/>
        <w:rPr>
          <w:sz w:val="20"/>
          <w:szCs w:val="20"/>
          <w:color w:val="auto"/>
        </w:rPr>
      </w:pPr>
      <w:r>
        <w:rPr>
          <w:rFonts w:ascii="Times New Roman" w:cs="Times New Roman" w:eastAsia="Times New Roman" w:hAnsi="Times New Roman"/>
          <w:sz w:val="18"/>
          <w:szCs w:val="18"/>
          <w:color w:val="211D1E"/>
        </w:rPr>
        <w:t xml:space="preserve">The Compensation Committee, in consultation with management and the Compensation Committee’s independent compensation consultant, endeavors to align our executive compensation program with our pay for performance philosophy to enhance stockholder value. Since the Company’s </w:t>
      </w:r>
      <w:r>
        <w:rPr>
          <w:rFonts w:ascii="Times New Roman" w:cs="Times New Roman" w:eastAsia="Times New Roman" w:hAnsi="Times New Roman"/>
          <w:sz w:val="18"/>
          <w:szCs w:val="18"/>
          <w:color w:val="000000"/>
        </w:rPr>
        <w:t>initial public</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offering in November 2013</w:t>
      </w:r>
      <w:r>
        <w:rPr>
          <w:rFonts w:ascii="Times New Roman" w:cs="Times New Roman" w:eastAsia="Times New Roman" w:hAnsi="Times New Roman"/>
          <w:sz w:val="18"/>
          <w:szCs w:val="18"/>
          <w:color w:val="211D1E"/>
        </w:rPr>
        <w:t>, the Compensation Committee has engaged Meridian Compensation Partners LLC (“Meridian”) as its independent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 xml:space="preserve">compensation consultant. </w:t>
      </w:r>
      <w:r>
        <w:rPr>
          <w:rFonts w:ascii="Times New Roman" w:cs="Times New Roman" w:eastAsia="Times New Roman" w:hAnsi="Times New Roman"/>
          <w:sz w:val="18"/>
          <w:szCs w:val="18"/>
          <w:color w:val="000000"/>
        </w:rPr>
        <w:t>In 2025, the</w:t>
      </w:r>
      <w:r>
        <w:rPr>
          <w:rFonts w:ascii="Times New Roman" w:cs="Times New Roman" w:eastAsia="Times New Roman" w:hAnsi="Times New Roman"/>
          <w:sz w:val="18"/>
          <w:szCs w:val="18"/>
          <w:color w:val="211D1E"/>
        </w:rPr>
        <w:t xml:space="preserve"> Compensation </w:t>
      </w:r>
      <w:r>
        <w:rPr>
          <w:rFonts w:ascii="Times New Roman" w:cs="Times New Roman" w:eastAsia="Times New Roman" w:hAnsi="Times New Roman"/>
          <w:sz w:val="18"/>
          <w:szCs w:val="18"/>
          <w:color w:val="000000"/>
        </w:rPr>
        <w:t>Committee evaluated the independence of Meridian and concluded that Meridian was qualified to</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 xml:space="preserve">serve as an independent consultant to the </w:t>
      </w:r>
      <w:r>
        <w:rPr>
          <w:rFonts w:ascii="Times New Roman" w:cs="Times New Roman" w:eastAsia="Times New Roman" w:hAnsi="Times New Roman"/>
          <w:sz w:val="18"/>
          <w:szCs w:val="18"/>
          <w:color w:val="211D1E"/>
        </w:rPr>
        <w:t>Compensation</w:t>
      </w:r>
      <w:r>
        <w:rPr>
          <w:rFonts w:ascii="Times New Roman" w:cs="Times New Roman" w:eastAsia="Times New Roman" w:hAnsi="Times New Roman"/>
          <w:sz w:val="18"/>
          <w:szCs w:val="18"/>
          <w:color w:val="000000"/>
        </w:rPr>
        <w:t xml:space="preserve"> Committee. </w:t>
      </w:r>
      <w:r>
        <w:rPr>
          <w:rFonts w:ascii="Times New Roman" w:cs="Times New Roman" w:eastAsia="Times New Roman" w:hAnsi="Times New Roman"/>
          <w:sz w:val="18"/>
          <w:szCs w:val="18"/>
          <w:color w:val="211D1E"/>
        </w:rPr>
        <w:t>In developing our pay for performance policies, Meridian assists the Compensation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1D1E"/>
        </w:rPr>
        <w:t>Committee with benchmarking elements of executive pay against external benchmarks, as discussed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Votes on Executive Compensation</w:t>
      </w:r>
    </w:p>
    <w:p>
      <w:pPr>
        <w:spacing w:after="0" w:line="25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approving the 2025 compensation of the NEOs, the Compensation Committee considered the results of the Say-on-Pay vote held at our 2024 annual meeting of stockholders, which received the support of over 98% of the shares of common stock that voted on the proposal (excluding broker non-votes). The Compensation Committee did not change its executive compensation approach based on the vote. The Board and the Compensation Committee will continue to consider the results of the Company’s Say-on-Pay votes when making future decisions regarding our NEOs’ compensation and related executive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 w:name="page39"/>
    <w:bookmarkEnd w:id="38"/>
    <w:p>
      <w:pPr>
        <w:spacing w:after="0" w:line="3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our 2024 annual meeting of stockholders, we conducted an advisory vote on the frequency of future Say-on-Pay votes, and a majority of the shares of common stock that were voted in favor of one of the three available frequency options (excluding abstentions and broker non-votes) voted in favor of holding future Say-on-Pay votes every year. In light of the results of the vote, the Board determined that we will hold future Say-on-Pay votes every year until we next hold an advisory vote on the frequency of future Say-on-Pay votes at our 2030 annual meeting of stockholders as required under SEC rules.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Oversight</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Compensation Committee, which is comprised entirely of independent directors, is responsible for overseeing our executive compensation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determines and approves all compensation and payment levels for the CEO and our other senior officers, including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 and the presidents of our homebuilding divisions.</w:t>
      </w:r>
    </w:p>
    <w:p>
      <w:pPr>
        <w:spacing w:after="0" w:line="99"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The Compensation Committee performs an annual review of the CEO’s goals and his performance in achieving such goals in each fiscal year and keeps the Board apprised of such evaluations. Our CEO reviews the performance of our other senior officers, including the NEOs (other than himself), and makes recommendations to the Compensation Committee regarding the compensation for those executive officers.</w:t>
      </w:r>
    </w:p>
    <w:p>
      <w:pPr>
        <w:spacing w:after="0" w:line="68"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The Compensation Committee, with input from Meridian, determines each element of compensation for the CEO. The Compensation Committee also determines each element of compensation for the other NEOs based on consideration of each individual’s leadership qualities, operational performance, business responsibilities, tenure with the Company, current compensation arrangements and long-term potential to enhance stockholder value as well as input from Meridian and the CEO. The Compensation Committee is under no obligation to follow these recommendations. Executive officers and others may participate in discussions with the Compensation Committee when invited to do so.</w:t>
      </w:r>
    </w:p>
    <w:p>
      <w:pPr>
        <w:spacing w:after="0" w:line="75" w:lineRule="exact"/>
        <w:rPr>
          <w:sz w:val="20"/>
          <w:szCs w:val="20"/>
          <w:color w:val="auto"/>
        </w:rPr>
      </w:pPr>
    </w:p>
    <w:p>
      <w:pPr>
        <w:jc w:val="both"/>
        <w:ind w:firstLine="244"/>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also approves all grants of PSUs, RSUs, cash and other awards under our stockholder approved 2013 Incentive Plan. </w:t>
      </w:r>
      <w:r>
        <w:rPr>
          <w:rFonts w:ascii="Times New Roman" w:cs="Times New Roman" w:eastAsia="Times New Roman" w:hAnsi="Times New Roman"/>
          <w:sz w:val="18"/>
          <w:szCs w:val="18"/>
          <w:color w:val="211D1E"/>
        </w:rPr>
        <w:t xml:space="preserve">Further information regarding the Compensation Committee’s responsibilities is in the Compensation Committee’s Charter, available under the “Investor Relations” and “Corporate Governance” links on the Company’s website at </w:t>
      </w:r>
      <w:r>
        <w:rPr>
          <w:rFonts w:ascii="Times New Roman" w:cs="Times New Roman" w:eastAsia="Times New Roman" w:hAnsi="Times New Roman"/>
          <w:sz w:val="18"/>
          <w:szCs w:val="18"/>
          <w:u w:val="single" w:color="auto"/>
          <w:color w:val="211D1E"/>
        </w:rPr>
        <w:t>www.lgihomes.com</w:t>
      </w:r>
      <w:r>
        <w:rPr>
          <w:rFonts w:ascii="Times New Roman" w:cs="Times New Roman" w:eastAsia="Times New Roman" w:hAnsi="Times New Roman"/>
          <w:sz w:val="18"/>
          <w:szCs w:val="18"/>
          <w:color w:val="211D1E"/>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Peer Group and Survey Data</w:t>
      </w:r>
    </w:p>
    <w:p>
      <w:pPr>
        <w:spacing w:after="0" w:line="121" w:lineRule="exact"/>
        <w:rPr>
          <w:sz w:val="20"/>
          <w:szCs w:val="20"/>
          <w:color w:val="auto"/>
        </w:rPr>
      </w:pPr>
    </w:p>
    <w:p>
      <w:pPr>
        <w:jc w:val="both"/>
        <w:ind w:firstLine="190"/>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utilized Meridian to identify the appropriate compensation benchmarking sources, to perform an annual benchmarking of our executive compensation and to assess the competitiveness of our executive compensation program.</w:t>
      </w:r>
    </w:p>
    <w:p>
      <w:pPr>
        <w:spacing w:after="0" w:line="54" w:lineRule="exact"/>
        <w:rPr>
          <w:sz w:val="20"/>
          <w:szCs w:val="20"/>
          <w:color w:val="auto"/>
        </w:rPr>
      </w:pPr>
    </w:p>
    <w:p>
      <w:pPr>
        <w:jc w:val="both"/>
        <w:ind w:firstLine="278"/>
        <w:spacing w:after="0" w:line="255" w:lineRule="auto"/>
        <w:rPr>
          <w:sz w:val="20"/>
          <w:szCs w:val="20"/>
          <w:color w:val="auto"/>
        </w:rPr>
      </w:pPr>
      <w:r>
        <w:rPr>
          <w:rFonts w:ascii="Times New Roman" w:cs="Times New Roman" w:eastAsia="Times New Roman" w:hAnsi="Times New Roman"/>
          <w:sz w:val="18"/>
          <w:szCs w:val="18"/>
          <w:color w:val="auto"/>
        </w:rPr>
        <w:t xml:space="preserve">Meridian provided market data from two sources: (i) a survey of general industry companies of comparable revenue size and (ii) a peer group of publicly-traded homebuilders (see below for a list). The survey of general industry companies reflected approximately 140 companies with revenues between $1 billion and $4 billion (median revenues of $2.4 billion) compiled by Equilar, Inc. The homebuilder peer group consisted of 10 companies with revenues between $1.9 billion and $7.4 billion (median revenues of $4.1 billion). </w:t>
      </w:r>
      <w:r>
        <w:rPr>
          <w:rFonts w:ascii="Times New Roman" w:cs="Times New Roman" w:eastAsia="Times New Roman" w:hAnsi="Times New Roman"/>
          <w:sz w:val="18"/>
          <w:szCs w:val="18"/>
          <w:color w:val="211D1E"/>
        </w:rPr>
        <w:t>The homebuilder peer group consisted of the same companies used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 xml:space="preserve">prior year’s homebuilder peer group, except for the removal of MDC Holdings, Inc. </w:t>
      </w:r>
      <w:r>
        <w:rPr>
          <w:rFonts w:ascii="Times New Roman" w:cs="Times New Roman" w:eastAsia="Times New Roman" w:hAnsi="Times New Roman"/>
          <w:sz w:val="18"/>
          <w:szCs w:val="18"/>
          <w:color w:val="000000"/>
        </w:rPr>
        <w:t>Peer group compensation data was limited to information that is</w:t>
      </w:r>
      <w:r>
        <w:rPr>
          <w:rFonts w:ascii="Times New Roman" w:cs="Times New Roman" w:eastAsia="Times New Roman" w:hAnsi="Times New Roman"/>
          <w:sz w:val="18"/>
          <w:szCs w:val="18"/>
          <w:color w:val="211D1E"/>
        </w:rPr>
        <w:t xml:space="preserve"> </w:t>
      </w:r>
      <w:r>
        <w:rPr>
          <w:rFonts w:ascii="Times New Roman" w:cs="Times New Roman" w:eastAsia="Times New Roman" w:hAnsi="Times New Roman"/>
          <w:sz w:val="18"/>
          <w:szCs w:val="18"/>
          <w:color w:val="000000"/>
        </w:rPr>
        <w:t>publicly reported and was used to benchmark the major components of compensation for our NEOs, including base pay, target annual bonus opportunity and long-term incentives.</w:t>
      </w:r>
    </w:p>
    <w:p>
      <w:pPr>
        <w:spacing w:after="0" w:line="81" w:lineRule="exact"/>
        <w:rPr>
          <w:sz w:val="20"/>
          <w:szCs w:val="20"/>
          <w:color w:val="auto"/>
        </w:rPr>
      </w:pPr>
    </w:p>
    <w:p>
      <w:pPr>
        <w:jc w:val="both"/>
        <w:ind w:firstLine="170"/>
        <w:spacing w:after="0" w:line="261" w:lineRule="auto"/>
        <w:rPr>
          <w:sz w:val="20"/>
          <w:szCs w:val="20"/>
          <w:color w:val="auto"/>
        </w:rPr>
      </w:pPr>
      <w:r>
        <w:rPr>
          <w:rFonts w:ascii="Times New Roman" w:cs="Times New Roman" w:eastAsia="Times New Roman" w:hAnsi="Times New Roman"/>
          <w:sz w:val="18"/>
          <w:szCs w:val="18"/>
          <w:color w:val="auto"/>
        </w:rPr>
        <w:t>Although the majority of the homebuilder peer group was larger than us, the Compensation Committee considered the Company’s relative size, including revenues, total assets, market capitalization, enterprise value, EBITDA, return on equity, return on assets and total shareholder return (“TSR”) when reviewing the executive compensation market data. Additional factors contemplated by the Compensation Committee included the Company’s 2024 performance, its overall business strategy and business model, its expected growth trajectory and constraints, and the then-current economic environment.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388"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6040" w:type="dxa"/>
            <w:vAlign w:val="bottom"/>
            <w:gridSpan w:val="2"/>
          </w:tcPr>
          <w:p>
            <w:pPr>
              <w:ind w:left="2280"/>
              <w:spacing w:after="0"/>
              <w:rPr>
                <w:sz w:val="20"/>
                <w:szCs w:val="20"/>
                <w:color w:val="auto"/>
              </w:rPr>
            </w:pPr>
            <w:r>
              <w:rPr>
                <w:rFonts w:ascii="Times New Roman" w:cs="Times New Roman" w:eastAsia="Times New Roman" w:hAnsi="Times New Roman"/>
                <w:sz w:val="16"/>
                <w:szCs w:val="16"/>
                <w:b w:val="1"/>
                <w:bCs w:val="1"/>
                <w:color w:val="auto"/>
              </w:rPr>
              <w:t>Homebuilder Peer Group</w:t>
            </w:r>
          </w:p>
        </w:tc>
        <w:tc>
          <w:tcPr>
            <w:tcW w:w="182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Beazer Homes USA, Inc.</w:t>
            </w:r>
          </w:p>
        </w:tc>
        <w:tc>
          <w:tcPr>
            <w:tcW w:w="2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Green Brick Partners, Inc.</w:t>
            </w:r>
          </w:p>
        </w:tc>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Meritage Homes Corporation</w:t>
            </w:r>
          </w:p>
        </w:tc>
        <w:tc>
          <w:tcPr>
            <w:tcW w:w="182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8"/>
              </w:rPr>
              <w:t>Tri Pointe Group, Inc.</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Century Communities, Inc.</w:t>
            </w:r>
          </w:p>
        </w:tc>
        <w:tc>
          <w:tcPr>
            <w:tcW w:w="2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Hovnanian Enterprises, Inc.</w:t>
            </w:r>
          </w:p>
        </w:tc>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M/I Homes, Inc.</w:t>
            </w:r>
          </w:p>
        </w:tc>
        <w:tc>
          <w:tcPr>
            <w:tcW w:w="1820" w:type="dxa"/>
            <w:vAlign w:val="bottom"/>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Dream Finders Homes, Inc.</w:t>
            </w:r>
          </w:p>
        </w:tc>
        <w:tc>
          <w:tcPr>
            <w:tcW w:w="2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KB Home</w:t>
            </w:r>
          </w:p>
        </w:tc>
        <w:tc>
          <w:tcPr>
            <w:tcW w:w="32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Taylor Morrison Home Corporation</w:t>
            </w:r>
          </w:p>
        </w:tc>
        <w:tc>
          <w:tcPr>
            <w:tcW w:w="1820" w:type="dxa"/>
            <w:vAlign w:val="bottom"/>
          </w:tcPr>
          <w:p>
            <w:pPr>
              <w:spacing w:after="0"/>
              <w:rPr>
                <w:sz w:val="18"/>
                <w:szCs w:val="18"/>
                <w:color w:val="auto"/>
              </w:rPr>
            </w:pPr>
          </w:p>
        </w:tc>
      </w:tr>
    </w:tbl>
    <w:p>
      <w:pPr>
        <w:spacing w:after="0" w:line="23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As a result of its review of the market data and other factors, the Compensation Committee approved each of our NEO’s target compensation levels to align them with the general industry market and the homebuilder peer group in comparable positions, considering our relative size. In addition, the Compensation </w:t>
      </w:r>
      <w:r>
        <w:rPr>
          <w:rFonts w:ascii="Times New Roman" w:cs="Times New Roman" w:eastAsia="Times New Roman" w:hAnsi="Times New Roman"/>
          <w:sz w:val="18"/>
          <w:szCs w:val="18"/>
          <w:color w:val="211D1E"/>
        </w:rPr>
        <w:t>Committee determined that each NEO’s then current target compensation provided the executive with an appropriate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opportunity, and placed more emphasis on incentive compensation versus base salary given the Company’s future growth goals. The Compensation Committee later determined, based on the Company’s fiscal 2025 performance, that each NEO’s total fiscal 2025 compensation was appropriate in light of overall Company performance, the NEO’s personal performance, and TSR for the performance period.</w:t>
      </w:r>
    </w:p>
    <w:p>
      <w:pPr>
        <w:spacing w:after="0" w:line="79" w:lineRule="exact"/>
        <w:rPr>
          <w:sz w:val="20"/>
          <w:szCs w:val="20"/>
          <w:color w:val="auto"/>
        </w:rPr>
      </w:pPr>
    </w:p>
    <w:p>
      <w:pPr>
        <w:jc w:val="both"/>
        <w:ind w:right="20" w:firstLine="208"/>
        <w:spacing w:after="0" w:line="266" w:lineRule="auto"/>
        <w:rPr>
          <w:sz w:val="20"/>
          <w:szCs w:val="20"/>
          <w:color w:val="auto"/>
        </w:rPr>
      </w:pPr>
      <w:r>
        <w:rPr>
          <w:rFonts w:ascii="Times New Roman" w:cs="Times New Roman" w:eastAsia="Times New Roman" w:hAnsi="Times New Roman"/>
          <w:sz w:val="18"/>
          <w:szCs w:val="18"/>
          <w:color w:val="211D1E"/>
        </w:rPr>
        <w:t>Other than the services described above and the valuation of the PSUs discussed below at “What We Paid and Why - Compensation for NEOs - Target Compensation Mix - 2025”, “2025 LTI Program”, and “PSUs”, which was approved by the Compensation Committee, Meridian did not provide any other services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PAID AND WHY - COMPENSATION FOR NEOs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Compensation Mix - 2025</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mix of fixed and incentive compensation elements at target for the CEO and the other NEOs for 2025 is shown in the charts below.</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Total Target Compensation by Element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7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STI</w:t>
            </w: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xml:space="preserve">LTI- PSUs </w:t>
            </w:r>
            <w:r>
              <w:rPr>
                <w:rFonts w:ascii="Times New Roman" w:cs="Times New Roman" w:eastAsia="Times New Roman" w:hAnsi="Times New Roman"/>
                <w:sz w:val="21"/>
                <w:szCs w:val="21"/>
                <w:b w:val="1"/>
                <w:bCs w:val="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LTI- RSUs</w:t>
            </w:r>
            <w:r>
              <w:rPr>
                <w:rFonts w:ascii="Times New Roman" w:cs="Times New Roman" w:eastAsia="Times New Roman" w:hAnsi="Times New Roman"/>
                <w:sz w:val="21"/>
                <w:szCs w:val="21"/>
                <w:b w:val="1"/>
                <w:bCs w:val="1"/>
                <w:color w:val="auto"/>
                <w:vertAlign w:val="superscript"/>
              </w:rPr>
              <w:t>(1)</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Lipar</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1,219,000</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3,315,000</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829,000</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6,338,000</w:t>
            </w:r>
          </w:p>
        </w:tc>
      </w:tr>
      <w:tr>
        <w:trPr>
          <w:trHeight w:val="213"/>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Snider</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2,800,000</w:t>
            </w:r>
          </w:p>
        </w:tc>
      </w:tr>
      <w:tr>
        <w:trPr>
          <w:trHeight w:val="219"/>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Merdian</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624,000</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562,000</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1,120,000</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280,000</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2,586,000</w:t>
            </w:r>
          </w:p>
        </w:tc>
      </w:tr>
      <w:tr>
        <w:trPr>
          <w:trHeight w:val="210"/>
        </w:trPr>
        <w:tc>
          <w:tcPr>
            <w:tcW w:w="1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Scott Garber</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281,000</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480,000</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1,349,000</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differ from the amounts discussed below at “2025 Grants of Plan-Based Awards” due to rounding.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ind w:firstLine="192"/>
        <w:spacing w:after="0" w:line="282" w:lineRule="auto"/>
        <w:rPr>
          <w:sz w:val="20"/>
          <w:szCs w:val="20"/>
          <w:color w:val="auto"/>
        </w:rPr>
      </w:pPr>
      <w:r>
        <w:rPr>
          <w:rFonts w:ascii="Times New Roman" w:cs="Times New Roman" w:eastAsia="Times New Roman" w:hAnsi="Times New Roman"/>
          <w:sz w:val="18"/>
          <w:szCs w:val="18"/>
          <w:color w:val="auto"/>
        </w:rPr>
        <w:t>We pay base salaries to attract and retain talented executives and to provide a fixed base of cash compensation. The table below shows the annual salary of each NEO:</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840" w:type="dxa"/>
            <w:vAlign w:val="bottom"/>
          </w:tcPr>
          <w:p>
            <w:pPr>
              <w:spacing w:after="0"/>
              <w:rPr>
                <w:sz w:val="16"/>
                <w:szCs w:val="16"/>
                <w:color w:val="auto"/>
              </w:rPr>
            </w:pPr>
          </w:p>
        </w:tc>
        <w:tc>
          <w:tcPr>
            <w:tcW w:w="212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6"/>
                <w:szCs w:val="16"/>
                <w:color w:val="auto"/>
              </w:rPr>
            </w:pPr>
          </w:p>
        </w:tc>
        <w:tc>
          <w:tcPr>
            <w:tcW w:w="2480" w:type="dxa"/>
            <w:vAlign w:val="bottom"/>
          </w:tcPr>
          <w:p>
            <w:pPr>
              <w:jc w:val="right"/>
              <w:ind w:right="1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Percentage Increase</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5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2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Lipar</w:t>
            </w:r>
          </w:p>
        </w:tc>
        <w:tc>
          <w:tcPr>
            <w:tcW w:w="8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975,000</w:t>
            </w:r>
          </w:p>
        </w:tc>
        <w:tc>
          <w:tcPr>
            <w:tcW w:w="5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975,000</w:t>
            </w:r>
          </w:p>
        </w:tc>
        <w:tc>
          <w:tcPr>
            <w:tcW w:w="248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Snider</w:t>
            </w: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650,000</w:t>
            </w:r>
          </w:p>
        </w:tc>
        <w:tc>
          <w:tcPr>
            <w:tcW w:w="24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Merdian</w:t>
            </w:r>
          </w:p>
        </w:tc>
        <w:tc>
          <w:tcPr>
            <w:tcW w:w="8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624,000</w:t>
            </w:r>
          </w:p>
        </w:tc>
        <w:tc>
          <w:tcPr>
            <w:tcW w:w="5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624,000</w:t>
            </w:r>
          </w:p>
        </w:tc>
        <w:tc>
          <w:tcPr>
            <w:tcW w:w="248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Scott Garber</w:t>
            </w: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2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468,000</w:t>
            </w:r>
          </w:p>
        </w:tc>
        <w:tc>
          <w:tcPr>
            <w:tcW w:w="24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For fiscal 2025 base salary determinations, the Compensation Committee reviewed each NEO’s job responsibilities, management experience, individual contributions, tenure and then-current salary, as well as the executive compensation benchmarking data prepared by Meridian.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 - Short-term Incentive Compensation</w:t>
      </w:r>
    </w:p>
    <w:p>
      <w:pPr>
        <w:spacing w:after="0" w:line="121"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STI compensation is designed to offer opportunities for cash compensation directly tied to our performance relative to established performance targets that the Compensation Committee ultimately believes create stockholder value. The Compensation Committee approved the 2025 incentive award opportunities described below for the eligible NEOs pursuant to the Annual Bonus Plan, a sub-plan of the 2013 Incentive Plan.</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 the 2025 Annual Bonus Plan, each NEO had an annual incentive opportunity based on the following percentages of base salary: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3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92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 xml:space="preserve">Annual STI Percentage of Base Salary </w:t>
            </w:r>
            <w:r>
              <w:rPr>
                <w:rFonts w:ascii="Times New Roman" w:cs="Times New Roman" w:eastAsia="Times New Roman" w:hAnsi="Times New Roman"/>
                <w:sz w:val="23"/>
                <w:szCs w:val="23"/>
                <w:b w:val="1"/>
                <w:bCs w:val="1"/>
                <w:color w:val="auto"/>
                <w:vertAlign w:val="superscript"/>
              </w:rPr>
              <w:t>(1)</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Lipar</w:t>
            </w:r>
          </w:p>
        </w:tc>
        <w:tc>
          <w:tcPr>
            <w:tcW w:w="5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Snider</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Merdian</w:t>
            </w:r>
          </w:p>
        </w:tc>
        <w:tc>
          <w:tcPr>
            <w:tcW w:w="5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Garber</w:t>
            </w:r>
          </w:p>
        </w:tc>
        <w:tc>
          <w:tcPr>
            <w:tcW w:w="5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 These values were unchanged from 2024.</w:t>
      </w:r>
    </w:p>
    <w:p>
      <w:pPr>
        <w:spacing w:after="0" w:line="1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total Annual Bonus payment to be earned by each participating NEO was based (i) 75% on the pre-tax net income during 2025 as compared to target and (ii) 25% on the number of home closings during 2025 as compared to the target. The payouts could range from 0% - 200% of the target annual bonus amount depending on the results achieved as compared to the threshold, target, and maximum for each measure, calculated and awarded independently, such that one portion of the award may be earned even if the threshold level of performance for the other measure is not achieved. The performance targets and payout terms applied to each NEO based on the Compensation Committee’s determination that each is integral to the overall success of the Company.</w:t>
      </w:r>
    </w:p>
    <w:p>
      <w:pPr>
        <w:spacing w:after="0" w:line="79"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Pre-tax net income and home closings performance measures and weightings have been used consistently for the Annual Bonus Plan since 2014. In order to set a meaningful target, threshold, and maximum for each performance measure, the Compensation Committee analyzed and considered the Company’s growth projections, expected absorption pace by market, lot development schedule, the Company’s performance relative to its peer group and the current economic climate. Pre-tax net income and home closings have been published by the Company since 2014 as key measures of our performance. The Compensation Committee believes that they are an appropriate and balanced method for evaluating the success of management and the Company.</w:t>
      </w:r>
    </w:p>
    <w:p>
      <w:pPr>
        <w:spacing w:after="0" w:line="75"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In measuring the Company’s performance with respect to these financial metrics under the 2025 Annual Bonus Plan, the Compensation Committee had, in its sole discretion, the authority to make equitable adjustments in recognition of unusual or non-recurring events affecting the Company or its financial statements. No such adjustments were made for 2025.</w:t>
      </w:r>
    </w:p>
    <w:p>
      <w:pPr>
        <w:spacing w:after="0" w:line="68" w:lineRule="exact"/>
        <w:rPr>
          <w:sz w:val="20"/>
          <w:szCs w:val="20"/>
          <w:color w:val="auto"/>
        </w:rPr>
      </w:pPr>
    </w:p>
    <w:p>
      <w:pPr>
        <w:jc w:val="both"/>
        <w:ind w:firstLine="177"/>
        <w:spacing w:after="0" w:line="282" w:lineRule="auto"/>
        <w:rPr>
          <w:sz w:val="20"/>
          <w:szCs w:val="20"/>
          <w:color w:val="auto"/>
        </w:rPr>
      </w:pPr>
      <w:r>
        <w:rPr>
          <w:rFonts w:ascii="Times New Roman" w:cs="Times New Roman" w:eastAsia="Times New Roman" w:hAnsi="Times New Roman"/>
          <w:sz w:val="18"/>
          <w:szCs w:val="18"/>
          <w:color w:val="auto"/>
        </w:rPr>
        <w:t>The threshold, target and maximum performance goals, the weighting for the performance metrics, and the payout rate for the 2025 annual bonus, as well as actual fiscal 2025 performance, are as follows (dollars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2025 Performance Metric (weighting)</w:t>
            </w:r>
          </w:p>
        </w:tc>
        <w:tc>
          <w:tcPr>
            <w:tcW w:w="58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380" w:type="dxa"/>
            <w:vAlign w:val="bottom"/>
          </w:tcPr>
          <w:p>
            <w:pPr>
              <w:spacing w:after="0"/>
              <w:rPr>
                <w:sz w:val="18"/>
                <w:szCs w:val="18"/>
                <w:color w:val="auto"/>
              </w:rPr>
            </w:pPr>
          </w:p>
        </w:tc>
        <w:tc>
          <w:tcPr>
            <w:tcW w:w="146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36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40" w:type="dxa"/>
            <w:vAlign w:val="bottom"/>
          </w:tcPr>
          <w:p>
            <w:pPr>
              <w:spacing w:after="0"/>
              <w:rPr>
                <w:sz w:val="18"/>
                <w:szCs w:val="18"/>
                <w:color w:val="auto"/>
              </w:rPr>
            </w:pPr>
          </w:p>
        </w:tc>
        <w:tc>
          <w:tcPr>
            <w:tcW w:w="16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Fiscal 2025 Actual</w:t>
            </w:r>
          </w:p>
        </w:tc>
      </w:tr>
      <w:tr>
        <w:trPr>
          <w:trHeight w:val="207"/>
        </w:trPr>
        <w:tc>
          <w:tcPr>
            <w:tcW w:w="3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Pre-tax net income (75%)</w:t>
            </w:r>
          </w:p>
        </w:tc>
        <w:tc>
          <w:tcPr>
            <w:tcW w:w="5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121,554</w:t>
            </w:r>
          </w:p>
        </w:tc>
        <w:tc>
          <w:tcPr>
            <w:tcW w:w="14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246,572</w:t>
            </w:r>
          </w:p>
        </w:tc>
        <w:tc>
          <w:tcPr>
            <w:tcW w:w="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311,338</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98,486</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Homes closed (25%)</w:t>
            </w: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6,600</w:t>
            </w:r>
          </w:p>
        </w:tc>
        <w:tc>
          <w:tcPr>
            <w:tcW w:w="36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7,470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Annual bonus payout rate</w:t>
            </w: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LTI Program</w:t>
      </w:r>
    </w:p>
    <w:p>
      <w:pPr>
        <w:spacing w:after="0" w:line="121"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The long-term incentives granted by the Compensation Committee for 2025 were designed to provide our NEOs longer-term incentive opportunities that are competitive with our general industry and homebuilder peer groups and reflect our overall executive compensation philosophy of aligning pay with performance. The 2025 LTI provided for 80% of the target value to be awarded in performance share units (PSUs) and 20% of the target value to be awarded in time-based RSUs with a three-year cliff vest. The target 2025 LTI dollar value for each NEO was set by the Compensation Committee at the following multiples of base salary: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57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LTI Dollar Value of Base Salary</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Lipar</w:t>
            </w:r>
          </w:p>
        </w:tc>
        <w:tc>
          <w:tcPr>
            <w:tcW w:w="5740" w:type="dxa"/>
            <w:vAlign w:val="bottom"/>
            <w:shd w:val="clear" w:color="auto" w:fill="CCEEFF"/>
          </w:tcPr>
          <w:p>
            <w:pPr>
              <w:ind w:left="5400"/>
              <w:spacing w:after="0"/>
              <w:rPr>
                <w:sz w:val="20"/>
                <w:szCs w:val="20"/>
                <w:color w:val="auto"/>
              </w:rPr>
            </w:pPr>
            <w:r>
              <w:rPr>
                <w:rFonts w:ascii="Times New Roman" w:cs="Times New Roman" w:eastAsia="Times New Roman" w:hAnsi="Times New Roman"/>
                <w:sz w:val="18"/>
                <w:szCs w:val="18"/>
                <w:color w:val="auto"/>
              </w:rPr>
              <w:t>4.3x</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Snider</w:t>
            </w:r>
          </w:p>
        </w:tc>
        <w:tc>
          <w:tcPr>
            <w:tcW w:w="574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2.3x</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Charles Merdian</w:t>
            </w:r>
          </w:p>
        </w:tc>
        <w:tc>
          <w:tcPr>
            <w:tcW w:w="5740" w:type="dxa"/>
            <w:vAlign w:val="bottom"/>
            <w:shd w:val="clear" w:color="auto" w:fill="CCEEFF"/>
          </w:tcPr>
          <w:p>
            <w:pPr>
              <w:ind w:left="5400"/>
              <w:spacing w:after="0"/>
              <w:rPr>
                <w:sz w:val="20"/>
                <w:szCs w:val="20"/>
                <w:color w:val="auto"/>
              </w:rPr>
            </w:pPr>
            <w:r>
              <w:rPr>
                <w:rFonts w:ascii="Times New Roman" w:cs="Times New Roman" w:eastAsia="Times New Roman" w:hAnsi="Times New Roman"/>
                <w:sz w:val="18"/>
                <w:szCs w:val="18"/>
                <w:color w:val="auto"/>
              </w:rPr>
              <w:t>2.2x</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Garber</w:t>
            </w:r>
          </w:p>
        </w:tc>
        <w:tc>
          <w:tcPr>
            <w:tcW w:w="574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1.3x</w:t>
            </w:r>
          </w:p>
        </w:tc>
      </w:tr>
    </w:tbl>
    <w:p>
      <w:pPr>
        <w:spacing w:after="0" w:line="200" w:lineRule="exact"/>
        <w:rPr>
          <w:sz w:val="20"/>
          <w:szCs w:val="20"/>
          <w:color w:val="auto"/>
        </w:rPr>
      </w:pPr>
    </w:p>
    <w:p>
      <w:pPr>
        <w:spacing w:after="0" w:line="3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RSUs and PSUs was determined using a $75.09 stock price (the closing stock price of our common stock on March 7, 2025, the last trading day prior to the March 8, 2025 grant date).</w:t>
      </w:r>
    </w:p>
    <w:p>
      <w:pPr>
        <w:spacing w:after="0" w:line="54" w:lineRule="exact"/>
        <w:rPr>
          <w:sz w:val="20"/>
          <w:szCs w:val="20"/>
          <w:color w:val="auto"/>
        </w:rPr>
      </w:pPr>
    </w:p>
    <w:p>
      <w:pPr>
        <w:jc w:val="both"/>
        <w:ind w:firstLine="200"/>
        <w:spacing w:after="0" w:line="266" w:lineRule="auto"/>
        <w:rPr>
          <w:sz w:val="20"/>
          <w:szCs w:val="20"/>
          <w:color w:val="auto"/>
        </w:rPr>
      </w:pPr>
      <w:r>
        <w:rPr>
          <w:rFonts w:ascii="Times New Roman" w:cs="Times New Roman" w:eastAsia="Times New Roman" w:hAnsi="Times New Roman"/>
          <w:sz w:val="18"/>
          <w:szCs w:val="18"/>
          <w:color w:val="auto"/>
        </w:rPr>
        <w:t>The 2025 LTI RSU and PSU grants to our NEOs were approved by the Compensation Committee under our stockholder approved 2013 Incentive Plan. The RSU grant agreements provide for three-year cliff vesting. The 2025 PSU award agreements provide for cliff vesting at the conclusion of the three-year performance period if threshold performance levels are achieved.</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Annual Bonus Plan and the 2013 Incentive Plan, the Compensation Committee has unilateral discretion and authority to eliminate or reduce, or increase, any award that would otherwise be payable to a participant in recognition of unusual or non-recurring events affectiing the Company or its financial statements, or otherwise. Existing executive equity ownership levels are not generally a factor in the Compensation Committee’s granting of PSUs and RSUs.</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not used annual awards of stock options as an element of employee compensation for our NEOs. We therefore</w:t>
      </w:r>
    </w:p>
    <w:p>
      <w:pPr>
        <w:spacing w:after="0" w:line="16" w:lineRule="exact"/>
        <w:rPr>
          <w:sz w:val="20"/>
          <w:szCs w:val="20"/>
          <w:color w:val="auto"/>
        </w:rPr>
      </w:pPr>
    </w:p>
    <w:p>
      <w:pPr>
        <w:jc w:val="both"/>
        <w:ind w:firstLine="8"/>
        <w:spacing w:after="0" w:line="234" w:lineRule="auto"/>
        <w:tabs>
          <w:tab w:leader="none" w:pos="2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grant, and have not granted, stock options in anticipation of the release of material nonpublic information, (ii) we do not time, and have not timed, the release of material nonpublic information based on stock option grant dates or for the purpose of affecting the value of executive compensation and (iii) we do not take, and have not taken, material nonpublic information into account when determining the timing and terms of stock options. As stock options have not been an element of compensation, we do not have a formal policy with respect to the timing of stock option grants, and we did not grant stock options or stock appreciation rights in 2025.</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121" w:lineRule="exact"/>
        <w:rPr>
          <w:sz w:val="20"/>
          <w:szCs w:val="20"/>
          <w:color w:val="auto"/>
        </w:rPr>
      </w:pPr>
    </w:p>
    <w:p>
      <w:pPr>
        <w:jc w:val="both"/>
        <w:ind w:firstLine="280"/>
        <w:spacing w:after="0" w:line="256" w:lineRule="auto"/>
        <w:rPr>
          <w:sz w:val="20"/>
          <w:szCs w:val="20"/>
          <w:color w:val="auto"/>
        </w:rPr>
      </w:pPr>
      <w:r>
        <w:rPr>
          <w:rFonts w:ascii="Times New Roman" w:cs="Times New Roman" w:eastAsia="Times New Roman" w:hAnsi="Times New Roman"/>
          <w:sz w:val="18"/>
          <w:szCs w:val="18"/>
          <w:color w:val="auto"/>
        </w:rPr>
        <w:t>The 2025 PSU awards provide the opportunity for participants to receive shares of our common stock based on the attainment of pre-established financial performance targets based on our cumulative Basic EPS amount over the three-year performance period 2025 - 2027. Each PSU granted to participants represents the right to receive one share of our common stock, but the ultimate number of shares of our common stock to be earned with respect to a participant’s PSUs will be determined at the end of the performance period depending on actual results as compared to the target performance metrics. Payouts could range from 0% to 200% of the target number of PSUs offered to the participant, depending on the cumulative Basic EPS as compared to target Basic EPS for the performance period.</w:t>
      </w:r>
    </w:p>
    <w:p>
      <w:pPr>
        <w:spacing w:after="0" w:line="79" w:lineRule="exact"/>
        <w:rPr>
          <w:sz w:val="20"/>
          <w:szCs w:val="20"/>
          <w:color w:val="auto"/>
        </w:rPr>
      </w:pPr>
    </w:p>
    <w:p>
      <w:pPr>
        <w:jc w:val="both"/>
        <w:ind w:firstLine="229"/>
        <w:spacing w:after="0" w:line="261" w:lineRule="auto"/>
        <w:rPr>
          <w:sz w:val="20"/>
          <w:szCs w:val="20"/>
          <w:color w:val="auto"/>
        </w:rPr>
      </w:pPr>
      <w:r>
        <w:rPr>
          <w:rFonts w:ascii="Times New Roman" w:cs="Times New Roman" w:eastAsia="Times New Roman" w:hAnsi="Times New Roman"/>
          <w:sz w:val="18"/>
          <w:szCs w:val="18"/>
          <w:color w:val="auto"/>
        </w:rPr>
        <w:t>The terms of the PSUs provide that the payouts will be capped at 100% of the target number of PSUs granted if absolute TSR is negative during the performance period, regardless of Basic EPS performance. The PSUs vest upon the determination date (March 2028) for the actual results at the end of the three-year period and require that the recipients continue to be employed by the Company through the determination date. The PSUs can only be settled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91" w:lineRule="exact"/>
        <w:rPr>
          <w:sz w:val="20"/>
          <w:szCs w:val="20"/>
          <w:color w:val="auto"/>
        </w:rPr>
      </w:pPr>
    </w:p>
    <w:p>
      <w:pPr>
        <w:jc w:val="both"/>
        <w:ind w:firstLine="249"/>
        <w:spacing w:after="0" w:line="282" w:lineRule="auto"/>
        <w:rPr>
          <w:sz w:val="20"/>
          <w:szCs w:val="20"/>
          <w:color w:val="auto"/>
        </w:rPr>
      </w:pPr>
      <w:r>
        <w:rPr>
          <w:rFonts w:ascii="Times New Roman" w:cs="Times New Roman" w:eastAsia="Times New Roman" w:hAnsi="Times New Roman"/>
          <w:sz w:val="18"/>
          <w:szCs w:val="18"/>
          <w:color w:val="auto"/>
        </w:rPr>
        <w:t>PSUs, which are contingent on the successful completion of both performance-based and time-based requirements before any payout occurs, further strengthen the link between individual pay opportunities and our performance and enhance our efforts to retain key executives.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jc w:val="both"/>
        <w:ind w:firstLine="183"/>
        <w:spacing w:after="0" w:line="266" w:lineRule="auto"/>
        <w:rPr>
          <w:sz w:val="20"/>
          <w:szCs w:val="20"/>
          <w:color w:val="auto"/>
        </w:rPr>
      </w:pPr>
      <w:r>
        <w:rPr>
          <w:rFonts w:ascii="Times New Roman" w:cs="Times New Roman" w:eastAsia="Times New Roman" w:hAnsi="Times New Roman"/>
          <w:sz w:val="18"/>
          <w:szCs w:val="18"/>
          <w:color w:val="auto"/>
        </w:rPr>
        <w:t>This additional compensation component was added in 2016 to provide an additional fixed level of long-term compensation to balance out the incentive-based compensation. It is designed to encourage retention of the management team. The RSUs cliff vest on the third anniversary of the grant date and can only be settled in shares of our common stock.</w:t>
      </w:r>
    </w:p>
    <w:p>
      <w:pPr>
        <w:spacing w:after="0" w:line="68" w:lineRule="exact"/>
        <w:rPr>
          <w:sz w:val="20"/>
          <w:szCs w:val="20"/>
          <w:color w:val="auto"/>
        </w:rPr>
      </w:pPr>
    </w:p>
    <w:p>
      <w:pPr>
        <w:jc w:val="both"/>
        <w:ind w:firstLine="235"/>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the long-term equity mix, including PSUs and time based RSUs, helps to ensure that long-term strategic initiatives are not compromised by having executives focus solely on short-term results through the annual incentive award. Such awards also help focus executives on strategies that increase long-term stockholder value.</w:t>
      </w:r>
    </w:p>
    <w:p>
      <w:pPr>
        <w:spacing w:after="0" w:line="68"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color w:val="auto"/>
        </w:rPr>
        <w:t>The 2025 incentive compensation program has similar underlying performance metrics as the programs in prior years and the Compensation Committee has determined that continuing a similar mix of PSUs and RSUs for the 2025 LTI grant was appropriate.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21" w:lineRule="exact"/>
        <w:rPr>
          <w:sz w:val="20"/>
          <w:szCs w:val="20"/>
          <w:color w:val="auto"/>
        </w:rPr>
      </w:pPr>
    </w:p>
    <w:p>
      <w:pPr>
        <w:jc w:val="both"/>
        <w:ind w:firstLine="232"/>
        <w:spacing w:after="0" w:line="266" w:lineRule="auto"/>
        <w:rPr>
          <w:sz w:val="20"/>
          <w:szCs w:val="20"/>
          <w:color w:val="auto"/>
        </w:rPr>
      </w:pPr>
      <w:r>
        <w:rPr>
          <w:rFonts w:ascii="Times New Roman" w:cs="Times New Roman" w:eastAsia="Times New Roman" w:hAnsi="Times New Roman"/>
          <w:sz w:val="18"/>
          <w:szCs w:val="18"/>
          <w:color w:val="auto"/>
        </w:rPr>
        <w:t>Our NEOs are generally eligible to participate in our regular employee benefit programs, which include a tax-qualified defined contribution plan (the “401k Plan”), an employee stock purchase plan, group life insurance, long-term disability coverage, other group welfare benefit plans, and to receive an auto allowance, if applicable. We believe many of these benefits are required to remain competitive with our competitors for executive talent.</w:t>
      </w:r>
    </w:p>
    <w:p>
      <w:pPr>
        <w:spacing w:after="0" w:line="68" w:lineRule="exact"/>
        <w:rPr>
          <w:sz w:val="20"/>
          <w:szCs w:val="20"/>
          <w:color w:val="auto"/>
        </w:rPr>
      </w:pPr>
    </w:p>
    <w:p>
      <w:pPr>
        <w:jc w:val="both"/>
        <w:ind w:firstLine="222"/>
        <w:spacing w:after="0" w:line="266" w:lineRule="auto"/>
        <w:rPr>
          <w:sz w:val="20"/>
          <w:szCs w:val="20"/>
          <w:color w:val="auto"/>
        </w:rPr>
      </w:pPr>
      <w:r>
        <w:rPr>
          <w:rFonts w:ascii="Times New Roman" w:cs="Times New Roman" w:eastAsia="Times New Roman" w:hAnsi="Times New Roman"/>
          <w:sz w:val="18"/>
          <w:szCs w:val="18"/>
          <w:color w:val="auto"/>
        </w:rPr>
        <w:t>We also provide our CEO with reimbursement of club membership dues. Senior executives, including the NEOs, are encouraged to occasionally have their spouses accompany them at business functions in connection with certain business meetings and other corporate-sponsored events, and the Company pays all expenses associated with their spouses’ travel to and attendance at these business-related functions</w:t>
      </w:r>
    </w:p>
    <w:p>
      <w:pPr>
        <w:spacing w:after="0" w:line="68"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All employees, including our NEOs, are also entitled to receive a discount on the purchase of an LGI home for their personal residence. We believe this program allows our employees to experience the benefit of home ownership while building loyalty and belief in our Company and our products with little impact on our pre-tax net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jc w:val="both"/>
        <w:ind w:firstLine="212"/>
        <w:spacing w:after="0" w:line="258" w:lineRule="auto"/>
        <w:rPr>
          <w:sz w:val="20"/>
          <w:szCs w:val="20"/>
          <w:color w:val="auto"/>
        </w:rPr>
      </w:pPr>
      <w:r>
        <w:rPr>
          <w:rFonts w:ascii="Times New Roman" w:cs="Times New Roman" w:eastAsia="Times New Roman" w:hAnsi="Times New Roman"/>
          <w:sz w:val="18"/>
          <w:szCs w:val="18"/>
          <w:color w:val="auto"/>
        </w:rPr>
        <w:t>Mr. Eric Lipar, our Chief Executive Officer and Chairman of the Board, has an employment agreement (the “Lipar Employment Agreement”) with the Company. The Lipar Employment Agreement provides for a three-year term that began November 13, 2018 and automatically renews for successive one-year periods on the anniversary of the effective date, a base salary of at least $840,588 plus a discretionary incentive bonus, and includes provisions that govern confidentiality, non-competition, and non-solicitation. See “Executive Compensation - CEO Employment Agreement” for a discussion of the Lipar Employment Agreement.</w:t>
      </w:r>
    </w:p>
    <w:p>
      <w:pPr>
        <w:spacing w:after="0" w:line="19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October 2025, the Compensation Committee authorized and approved a change in control plan covering the executive officers of the Company and certain other officers of the Company. In February 2026, in lieu of putting in place a plan, the Compensation Committee authorized and approved the Company entering into Change in Control Severance Agreements (the “CIC Agreements”) with each NEO and certain other officers of the Company. Under the CIC Agreements, the officer party to the CIC Agreement is entitled to a lump-sum payment and a continuation of benefits upon a termination by the Company without cause or such officer’s resignation due to a material change in employment on or within two years following a change in control. Upon a termination by the Company without cause or resignation due to a material change in employment on or within two years following a change in control, Mr. Lipar is entitled to a lump-sum payment equal to three times the sum of his base salary and annual cash bonus (at target), and Messrs. Snider, Merdian and Garber are entitled to a lump-sum payment equal to two times the sum of their respective base salary and annual cash bonus (at target), and each of Messrs. Lipar, Snider, Merdian and Garber is entitled to benefits continuation coverage for 18 months after termination. The Company expects to amend the Lipar Employment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 so that the severance benefits set forth in his CIC Agreement would replace the severance benefits currently included in the Lipar Employment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162(m)</w:t>
      </w:r>
    </w:p>
    <w:p>
      <w:pPr>
        <w:spacing w:after="0" w:line="121" w:lineRule="exact"/>
        <w:rPr>
          <w:sz w:val="20"/>
          <w:szCs w:val="20"/>
          <w:color w:val="auto"/>
        </w:rPr>
      </w:pPr>
    </w:p>
    <w:p>
      <w:pPr>
        <w:jc w:val="both"/>
        <w:ind w:right="20" w:firstLine="204"/>
        <w:spacing w:after="0" w:line="254" w:lineRule="auto"/>
        <w:rPr>
          <w:sz w:val="20"/>
          <w:szCs w:val="20"/>
          <w:color w:val="auto"/>
        </w:rPr>
      </w:pPr>
      <w:r>
        <w:rPr>
          <w:rFonts w:ascii="Times New Roman" w:cs="Times New Roman" w:eastAsia="Times New Roman" w:hAnsi="Times New Roman"/>
          <w:sz w:val="18"/>
          <w:szCs w:val="18"/>
          <w:color w:val="auto"/>
        </w:rPr>
        <w:t>Section 162(m) of the Code limits the amount of compensation that may be deducted per covered employee to $1.0 million per taxable year. Following the enactment of the Tax Cuts and Jobs Act, beginning with the 2018 calendar year, this $1.0 million annual deduction limitation applies to compensation paid to any individual who serves as the chief executive officer, chief financial officer or one of the other three most highly compensated executive officers for 2017 or any subsequent calendar year, and there is no longer any exception to this limitation for qualified performance-based compensation (as was the case for periods prior to 2018). Thus, it is expected that any compensation deductions for any covered employee will be subject to a $1 million annual deduction limitation (other than for certain compensation that satisfies the requirements for grandfathering under the law). The Compensation Committee considers the applicability of Section 162(m) in designing our compensation programs but also considers numerous factors that may in some cases lead to the payment of compensation that is not deductible as result of the application of Section 162(m).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jc w:val="both"/>
        <w:ind w:right="20" w:firstLine="238"/>
        <w:spacing w:after="0" w:line="258" w:lineRule="auto"/>
        <w:rPr>
          <w:sz w:val="20"/>
          <w:szCs w:val="20"/>
          <w:color w:val="auto"/>
        </w:rPr>
      </w:pPr>
      <w:r>
        <w:rPr>
          <w:rFonts w:ascii="Times New Roman" w:cs="Times New Roman" w:eastAsia="Times New Roman" w:hAnsi="Times New Roman"/>
          <w:sz w:val="18"/>
          <w:szCs w:val="18"/>
          <w:color w:val="auto"/>
        </w:rPr>
        <w:t>Ownership of our common stock by our directors and executive officers is very important to align their interests with those of our stockholders. The Board has adopted guidelines requiring that our executive officers acquire and continuously hold a specified minimum level of our common stock. Shares owned outright and unvested RSUs are counted towards the ownership level, but unearned or unvested PSUs are not counted towards the ownership level. For our executive officers, we express these requirements as a multiple of annual base salary. The minimum stock ownership requirements by level are as follows: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040" w:type="dxa"/>
            <w:vAlign w:val="bottom"/>
            <w:tcBorders>
              <w:top w:val="single" w:sz="8" w:color="auto"/>
              <w:left w:val="single" w:sz="8" w:color="auto"/>
              <w:bottom w:val="single" w:sz="8" w:color="auto"/>
            </w:tcBorders>
          </w:tcPr>
          <w:p>
            <w:pPr>
              <w:spacing w:after="0"/>
              <w:rPr>
                <w:sz w:val="19"/>
                <w:szCs w:val="19"/>
                <w:color w:val="auto"/>
              </w:rPr>
            </w:pPr>
          </w:p>
        </w:tc>
        <w:tc>
          <w:tcPr>
            <w:tcW w:w="7220" w:type="dxa"/>
            <w:vAlign w:val="bottom"/>
            <w:tcBorders>
              <w:top w:val="single" w:sz="8" w:color="auto"/>
              <w:bottom w:val="single" w:sz="8" w:color="auto"/>
              <w:right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Stock Ownership Guidelines</w:t>
            </w:r>
          </w:p>
        </w:tc>
      </w:tr>
      <w:tr>
        <w:trPr>
          <w:trHeight w:val="208"/>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16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5X Base Salary</w:t>
            </w:r>
          </w:p>
        </w:tc>
      </w:tr>
      <w:tr>
        <w:trPr>
          <w:trHeight w:val="209"/>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Operating Officer and Chief Financial Officer</w:t>
            </w:r>
          </w:p>
        </w:tc>
        <w:tc>
          <w:tcPr>
            <w:tcW w:w="16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3X Base Salary</w:t>
            </w:r>
          </w:p>
        </w:tc>
      </w:tr>
      <w:tr>
        <w:trPr>
          <w:trHeight w:val="210"/>
        </w:trPr>
        <w:tc>
          <w:tcPr>
            <w:tcW w:w="4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Executive Officers</w:t>
            </w:r>
          </w:p>
        </w:tc>
        <w:tc>
          <w:tcPr>
            <w:tcW w:w="160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1X Base Salary</w:t>
            </w:r>
          </w:p>
        </w:tc>
      </w:tr>
    </w:tbl>
    <w:p>
      <w:pPr>
        <w:spacing w:after="0" w:line="171" w:lineRule="exact"/>
        <w:rPr>
          <w:sz w:val="20"/>
          <w:szCs w:val="20"/>
          <w:color w:val="auto"/>
        </w:rPr>
      </w:pPr>
    </w:p>
    <w:p>
      <w:pPr>
        <w:jc w:val="both"/>
        <w:ind w:right="20" w:firstLine="211"/>
        <w:spacing w:after="0" w:line="261" w:lineRule="auto"/>
        <w:rPr>
          <w:sz w:val="20"/>
          <w:szCs w:val="20"/>
          <w:color w:val="auto"/>
        </w:rPr>
      </w:pPr>
      <w:r>
        <w:rPr>
          <w:rFonts w:ascii="Times New Roman" w:cs="Times New Roman" w:eastAsia="Times New Roman" w:hAnsi="Times New Roman"/>
          <w:sz w:val="18"/>
          <w:szCs w:val="18"/>
          <w:color w:val="auto"/>
        </w:rPr>
        <w:t>Upon the appointment or election of a new executive officer, that person will be expected to reach full compliance with these requirements by the date that is five years after his or her appointment or election. Until the targeted ownership levels are attained, executive officers covered by this policy are required to retain at least 50% of the shares of our common stock acquired upon the vesting of share-based awards. As of December 31, 2025, each executive officer was in compliance with the policy.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the Recovery of Erroneously Awarded Compensation</w:t>
      </w:r>
    </w:p>
    <w:p>
      <w:pPr>
        <w:spacing w:after="0" w:line="25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In 2023, the Board adopted a policy for the recovery of erroneously awarded compensation, or “clawback” policy, applicable to executive officers. The policy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 including to correct an error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 of Company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See “Security Ownership of Certain Beneficial Owners - Anti-hedging and Insider Trading Policy” for a discussion of the Company’s anti-hedging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4" w:name="page45"/>
    <w:bookmarkEnd w:id="44"/>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Looking Ahead - 2026 Compensation</w:t>
      </w:r>
    </w:p>
    <w:p>
      <w:pPr>
        <w:spacing w:after="0" w:line="121" w:lineRule="exact"/>
        <w:rPr>
          <w:sz w:val="20"/>
          <w:szCs w:val="20"/>
          <w:color w:val="auto"/>
        </w:rPr>
      </w:pPr>
    </w:p>
    <w:p>
      <w:pPr>
        <w:jc w:val="both"/>
        <w:ind w:right="20" w:firstLine="190"/>
        <w:spacing w:after="0" w:line="282" w:lineRule="auto"/>
        <w:rPr>
          <w:sz w:val="20"/>
          <w:szCs w:val="20"/>
          <w:color w:val="auto"/>
        </w:rPr>
      </w:pPr>
      <w:r>
        <w:rPr>
          <w:rFonts w:ascii="Times New Roman" w:cs="Times New Roman" w:eastAsia="Times New Roman" w:hAnsi="Times New Roman"/>
          <w:sz w:val="18"/>
          <w:szCs w:val="18"/>
          <w:color w:val="auto"/>
        </w:rPr>
        <w:t>Annually, the Compensation Committee approves NEO compensation. The base salaries and incentive compensation programs continue to be similar to previous years as discussed above. In February 2026, the Compensation Committee approved an average base salary increase of 1.6% for the NEOs.</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2026, in order to incentivize the attainment of certain performance targets and to ensure retention of certain key officers of the Company, the Compensation Committee authorized and approved retention arrangements with the executive officers of the Company and certain other officers of the Company. Certain officers of the Company and one executive officer (Mr. Garber) will receive a one-time cash payment during the first quarter of 2026. Mr. Garber will receive a one-time cash payment of $150,000. The other executive officers of the Company (Messrs. Lipar, Snider and Merdian) and one other officer of the Company have their one-time cash payments tied to the Company’s Net Debt to Capitalization as of June 30, 2026. The target payment for Messrs. Lipar, Snider and Merdian is $600,000, $350,000 and $300,000, respectively. If the Company’s Net Debt to Capitalization as of June 30, 2026 is: greater than 45%, then the cash payment is 50% of target; between 40% and 45%, then the cash payment is 100% of target; and below 40%, then the cash payment is 150% of target. All of the retention cash payments are subject to payback if the recipient voluntarily leaves the Company before December 31, 2026.</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order to ensure continued focus on the Company’s return on equity (“ROE”), the Compensation Committee modified the potential bonus to be paid under the Company’s 2026 annual cash bonus plan for all participants in the plan, including Messrs. Lipar, Snider, Merdian, and Garber. Such participants will receive an additional bonus equal to 25% of such participant’s 2026 bonus paid under the Company’s annual cash bonus plan if the Company’s ROE for 2026 is above 10%. ROE for purposes of this potential bonus is defined as the Company’s net income for the fiscal year ended December 31, 2026 as reported in the Company’s audited Statement of Operations for the fiscal year ended December 31, 2026 divided by the average of the Company’s total equity as of March 31, 2026, June 30, 2026, September 30, 2026, and December 31, 2026 as reported in the respective Balance Sheet of the Company for each such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1D1E"/>
        </w:rPr>
        <w:t>Compensation Risk Assessment</w:t>
      </w:r>
    </w:p>
    <w:p>
      <w:pPr>
        <w:spacing w:after="0" w:line="121" w:lineRule="exact"/>
        <w:rPr>
          <w:sz w:val="20"/>
          <w:szCs w:val="20"/>
          <w:color w:val="auto"/>
        </w:rPr>
      </w:pPr>
    </w:p>
    <w:p>
      <w:pPr>
        <w:jc w:val="both"/>
        <w:ind w:right="20" w:firstLine="263"/>
        <w:spacing w:after="0" w:line="266" w:lineRule="auto"/>
        <w:rPr>
          <w:sz w:val="20"/>
          <w:szCs w:val="20"/>
          <w:color w:val="auto"/>
        </w:rPr>
      </w:pPr>
      <w:r>
        <w:rPr>
          <w:rFonts w:ascii="Times New Roman" w:cs="Times New Roman" w:eastAsia="Times New Roman" w:hAnsi="Times New Roman"/>
          <w:sz w:val="18"/>
          <w:szCs w:val="18"/>
          <w:color w:val="211D1E"/>
        </w:rPr>
        <w:t>The Compensation Committee oversees the Company’s executive compensation program and annually reviews the program against the Company’s strategic goals, industry practices and emerging trends in order to ensure alignment with stockholder interests. The Compensation Committee believes that our performance-based bonus and equity programs provide executives with incentives to create long-term stockholder value.</w:t>
      </w:r>
    </w:p>
    <w:p>
      <w:pPr>
        <w:spacing w:after="0" w:line="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211D1E"/>
        </w:rPr>
        <w:t>As part of this evaluation, the Compensation Committee considers whether the program components encourage or otherwise promote the taking of inappropriate or unacceptable risks that could threaten the Company’s long-term value. Based on this review, the Compensation Committee believes that many of the Company’s systems and processes are designed to effectively promote the creation of long-term value, discourage behavior that leads to excessive risk, and mitigate the material risks associated with executive and other compensation programs.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211D1E"/>
        </w:rPr>
        <w:t>These practices with respect to 2025 included the following:</w:t>
      </w:r>
    </w:p>
    <w:p>
      <w:pPr>
        <w:spacing w:after="0" w:line="117" w:lineRule="exact"/>
        <w:rPr>
          <w:sz w:val="20"/>
          <w:szCs w:val="20"/>
          <w:color w:val="auto"/>
        </w:rPr>
      </w:pPr>
    </w:p>
    <w:p>
      <w:pPr>
        <w:ind w:left="820" w:right="2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Our executive compensation program is designed to include a mix of elements so that the compensation mix is not overly focused on either short-term or long-term incentives.</w:t>
      </w:r>
    </w:p>
    <w:p>
      <w:pPr>
        <w:spacing w:after="0" w:line="53"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Our executive annual incentive award program is based on financial metrics that are objective and drive long-term stockholder value (including pretax operating income performance and home closings). Moreover, the Compensation Committee attempts to set ranges for these measures that encourage success without encouraging excessive risk taking to achieve short-term results. The Compensation Committee has the absolute discretion to remove any and all participants from the annual incentive award program prior to the end of the year to which the annual incentive award relates and may reduce the amount of the annual incentive award payment, in its discretion, at any time prior to year-end.</w:t>
      </w:r>
    </w:p>
    <w:p>
      <w:pPr>
        <w:spacing w:after="0" w:line="7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Our incentive compensation programs do not allow for unlimited payments, and annual incentive award caps limit the extent that employees could potentially profit by taking on excessive risk.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91" w:lineRule="exact"/>
        <w:rPr>
          <w:sz w:val="20"/>
          <w:szCs w:val="20"/>
          <w:color w:val="auto"/>
        </w:rPr>
      </w:pPr>
    </w:p>
    <w:p>
      <w:pPr>
        <w:jc w:val="both"/>
        <w:ind w:left="820" w:hanging="326"/>
        <w:spacing w:after="0" w:line="261"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Selection of two different types of long-term incentives (time-based RSUs and PSUs) for executives helps to minimize the risk that they will take actions that could cause harm to the Company and our stockholders. The value of the RSUs is primarily based on stock price appreciation, which is determined by how the market values our common stock, and the value of the PSUs is based on cumulative Basic EPS which is objective and drives long-term stockholder value.</w:t>
      </w:r>
    </w:p>
    <w:p>
      <w:pPr>
        <w:spacing w:after="0" w:line="7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Longer performance periods encourage executives to attain sustained performance over several years, rather than performance in a single period. PSUs are based on a three-year performance period. Time-based RSUs have a three-year cliff vesting.</w:t>
      </w:r>
    </w:p>
    <w:p>
      <w:pPr>
        <w:spacing w:after="0" w:line="5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1D1E"/>
        </w:rPr>
        <w:t>The stock ownership guidelines described under “Stock Ownership Guidelines” above align the interests of our executive officers with the long-term interests of our stockholders and encourage our executives to execute our strategies for growth in a prudent manner.</w:t>
      </w:r>
    </w:p>
    <w:p>
      <w:pPr>
        <w:spacing w:after="0" w:line="53"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32"/>
        </w:numPr>
        <w:rPr>
          <w:rFonts w:ascii="Times New Roman" w:cs="Times New Roman" w:eastAsia="Times New Roman" w:hAnsi="Times New Roman"/>
          <w:sz w:val="18"/>
          <w:szCs w:val="18"/>
          <w:color w:val="211D1E"/>
        </w:rPr>
      </w:pPr>
      <w:r>
        <w:rPr>
          <w:rFonts w:ascii="Times New Roman" w:cs="Times New Roman" w:eastAsia="Times New Roman" w:hAnsi="Times New Roman"/>
          <w:sz w:val="18"/>
          <w:szCs w:val="18"/>
          <w:color w:val="211D1E"/>
        </w:rPr>
        <w:t>The Company has a clawback policy applicable to executive officers that requires recovery of incentive-based compensation if the Company is later required to prepare an accounting restatement, as described under “Policy for the Recovery of Erroneously Awarded Compensation”.</w:t>
      </w:r>
    </w:p>
    <w:p>
      <w:pPr>
        <w:spacing w:after="0" w:line="54" w:lineRule="exact"/>
        <w:rPr>
          <w:sz w:val="20"/>
          <w:szCs w:val="20"/>
          <w:color w:val="auto"/>
        </w:rPr>
      </w:pPr>
    </w:p>
    <w:p>
      <w:pPr>
        <w:ind w:firstLine="263"/>
        <w:spacing w:after="0" w:line="282" w:lineRule="auto"/>
        <w:rPr>
          <w:sz w:val="20"/>
          <w:szCs w:val="20"/>
          <w:color w:val="auto"/>
        </w:rPr>
      </w:pPr>
      <w:r>
        <w:rPr>
          <w:rFonts w:ascii="Times New Roman" w:cs="Times New Roman" w:eastAsia="Times New Roman" w:hAnsi="Times New Roman"/>
          <w:sz w:val="18"/>
          <w:szCs w:val="18"/>
          <w:color w:val="211D1E"/>
        </w:rPr>
        <w:t xml:space="preserve">Based on its most recent review, management and the </w:t>
      </w:r>
      <w:r>
        <w:rPr>
          <w:rFonts w:ascii="Times New Roman" w:cs="Times New Roman" w:eastAsia="Times New Roman" w:hAnsi="Times New Roman"/>
          <w:sz w:val="18"/>
          <w:szCs w:val="18"/>
          <w:color w:val="221E1F"/>
        </w:rPr>
        <w:t>Compensation</w:t>
      </w:r>
      <w:r>
        <w:rPr>
          <w:rFonts w:ascii="Times New Roman" w:cs="Times New Roman" w:eastAsia="Times New Roman" w:hAnsi="Times New Roman"/>
          <w:sz w:val="18"/>
          <w:szCs w:val="18"/>
          <w:color w:val="211D1E"/>
        </w:rPr>
        <w:t xml:space="preserve"> Committee do not believe that the compensation policies and practices of the Company create risks that are reasonably likely to have a material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jc w:val="both"/>
        <w:ind w:firstLine="191"/>
        <w:spacing w:after="0" w:line="282" w:lineRule="auto"/>
        <w:rPr>
          <w:sz w:val="20"/>
          <w:szCs w:val="20"/>
          <w:color w:val="auto"/>
        </w:rPr>
      </w:pPr>
      <w:r>
        <w:rPr>
          <w:rFonts w:ascii="Times New Roman" w:cs="Times New Roman" w:eastAsia="Times New Roman" w:hAnsi="Times New Roman"/>
          <w:sz w:val="18"/>
          <w:szCs w:val="18"/>
          <w:color w:val="221E1F"/>
        </w:rPr>
        <w:t>The Compensation Committee has reviewed and discussed the Compensation Discussion and Analysis with management and, based on such review and discussions, the Compensation Committee recommended to the Board that the Compensation Discussion and Analysis be included in this Proxy Statement.</w:t>
      </w:r>
    </w:p>
    <w:p>
      <w:pPr>
        <w:spacing w:after="0" w:line="9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Maria Sharpe (Chair)</w:t>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Bryan Sansbury</w:t>
      </w:r>
    </w:p>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report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Executive Compensation Table</w:t>
      </w:r>
    </w:p>
    <w:p>
      <w:pPr>
        <w:spacing w:after="0" w:line="121" w:lineRule="exact"/>
        <w:rPr>
          <w:sz w:val="20"/>
          <w:szCs w:val="20"/>
          <w:color w:val="auto"/>
        </w:rPr>
      </w:pPr>
    </w:p>
    <w:p>
      <w:pPr>
        <w:ind w:firstLine="245"/>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provides information concerning compensation of our NEOs - </w:t>
      </w:r>
      <w:r>
        <w:rPr>
          <w:rFonts w:ascii="Times New Roman" w:cs="Times New Roman" w:eastAsia="Times New Roman" w:hAnsi="Times New Roman"/>
          <w:sz w:val="18"/>
          <w:szCs w:val="18"/>
          <w:color w:val="211D1E"/>
        </w:rPr>
        <w:t>our Chief Executive Officer, our Chief Financial Officer,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D1E"/>
        </w:rPr>
        <w:t>other executive officers of LGI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xml:space="preserve">Bonus </w:t>
            </w:r>
            <w:r>
              <w:rPr>
                <w:rFonts w:ascii="Times New Roman" w:cs="Times New Roman" w:eastAsia="Times New Roman" w:hAnsi="Times New Roman"/>
                <w:sz w:val="21"/>
                <w:szCs w:val="21"/>
                <w:b w:val="1"/>
                <w:bCs w:val="1"/>
                <w:color w:val="auto"/>
                <w:vertAlign w:val="superscript"/>
              </w:rPr>
              <w:t>(1)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Stock Awards </w:t>
            </w:r>
            <w:r>
              <w:rPr>
                <w:rFonts w:ascii="Times New Roman" w:cs="Times New Roman" w:eastAsia="Times New Roman" w:hAnsi="Times New Roman"/>
                <w:sz w:val="21"/>
                <w:szCs w:val="21"/>
                <w:b w:val="1"/>
                <w:bCs w:val="1"/>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 xml:space="preserve">Compensation </w:t>
            </w:r>
            <w:r>
              <w:rPr>
                <w:rFonts w:ascii="Times New Roman" w:cs="Times New Roman" w:eastAsia="Times New Roman" w:hAnsi="Times New Roman"/>
                <w:sz w:val="21"/>
                <w:szCs w:val="21"/>
                <w:b w:val="1"/>
                <w:bCs w:val="1"/>
                <w:color w:val="auto"/>
                <w:w w:val="99"/>
                <w:vertAlign w:val="superscript"/>
              </w:rPr>
              <w:t>(6)</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Lipar,</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975,000</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4,143,842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63,209</w:t>
            </w:r>
          </w:p>
        </w:tc>
        <w:tc>
          <w:tcPr>
            <w:tcW w:w="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5,182,051</w:t>
            </w:r>
          </w:p>
        </w:tc>
        <w:tc>
          <w:tcPr>
            <w:tcW w:w="0" w:type="dxa"/>
            <w:vAlign w:val="bottom"/>
          </w:tcPr>
          <w:p>
            <w:pPr>
              <w:spacing w:after="0"/>
              <w:rPr>
                <w:sz w:val="1"/>
                <w:szCs w:val="1"/>
                <w:color w:val="auto"/>
              </w:rPr>
            </w:pPr>
          </w:p>
        </w:tc>
      </w:tr>
      <w:tr>
        <w:trPr>
          <w:trHeight w:val="154"/>
        </w:trPr>
        <w:tc>
          <w:tcPr>
            <w:tcW w:w="3120" w:type="dxa"/>
            <w:vAlign w:val="bottom"/>
            <w:vMerge w:val="continue"/>
            <w:shd w:val="clear" w:color="auto" w:fill="CCEEFF"/>
          </w:tcPr>
          <w:p>
            <w:pPr>
              <w:spacing w:after="0"/>
              <w:rPr>
                <w:sz w:val="13"/>
                <w:szCs w:val="13"/>
                <w:color w:val="auto"/>
              </w:rPr>
            </w:pPr>
          </w:p>
        </w:tc>
        <w:tc>
          <w:tcPr>
            <w:tcW w:w="8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975,000</w:t>
            </w:r>
          </w:p>
        </w:tc>
        <w:tc>
          <w:tcPr>
            <w:tcW w:w="3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974,354</w:t>
            </w:r>
          </w:p>
        </w:tc>
        <w:tc>
          <w:tcPr>
            <w:tcW w:w="4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4,143,907</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72,645</w:t>
            </w:r>
          </w:p>
        </w:tc>
        <w:tc>
          <w:tcPr>
            <w:tcW w:w="4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6,165,906</w:t>
            </w:r>
          </w:p>
        </w:tc>
        <w:tc>
          <w:tcPr>
            <w:tcW w:w="0" w:type="dxa"/>
            <w:vAlign w:val="bottom"/>
          </w:tcPr>
          <w:p>
            <w:pPr>
              <w:spacing w:after="0"/>
              <w:rPr>
                <w:sz w:val="1"/>
                <w:szCs w:val="1"/>
                <w:color w:val="auto"/>
              </w:rPr>
            </w:pPr>
          </w:p>
        </w:tc>
      </w:tr>
      <w:tr>
        <w:trPr>
          <w:trHeight w:val="116"/>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CEO and Chairman of the Board*</w:t>
            </w:r>
          </w:p>
        </w:tc>
        <w:tc>
          <w:tcPr>
            <w:tcW w:w="800" w:type="dxa"/>
            <w:vAlign w:val="bottom"/>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20" w:type="dxa"/>
            <w:vAlign w:val="bottom"/>
            <w:vMerge w:val="continue"/>
            <w:shd w:val="clear" w:color="auto" w:fill="CCEEFF"/>
          </w:tcPr>
          <w:p>
            <w:pPr>
              <w:spacing w:after="0"/>
              <w:rPr>
                <w:sz w:val="8"/>
                <w:szCs w:val="8"/>
                <w:color w:val="auto"/>
              </w:rPr>
            </w:pPr>
          </w:p>
        </w:tc>
        <w:tc>
          <w:tcPr>
            <w:tcW w:w="8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975,000</w:t>
            </w:r>
          </w:p>
        </w:tc>
        <w:tc>
          <w:tcPr>
            <w:tcW w:w="3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1,418,618</w:t>
            </w:r>
          </w:p>
        </w:tc>
        <w:tc>
          <w:tcPr>
            <w:tcW w:w="4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4,143,927</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55,737</w:t>
            </w:r>
          </w:p>
        </w:tc>
        <w:tc>
          <w:tcPr>
            <w:tcW w:w="4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6,593,282</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Michael Snider,</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650,000</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1,500,073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55,575</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2,205,648</w:t>
            </w:r>
          </w:p>
        </w:tc>
        <w:tc>
          <w:tcPr>
            <w:tcW w:w="0" w:type="dxa"/>
            <w:vAlign w:val="bottom"/>
          </w:tcPr>
          <w:p>
            <w:pPr>
              <w:spacing w:after="0"/>
              <w:rPr>
                <w:sz w:val="1"/>
                <w:szCs w:val="1"/>
                <w:color w:val="auto"/>
              </w:rPr>
            </w:pPr>
          </w:p>
        </w:tc>
      </w:tr>
      <w:tr>
        <w:trPr>
          <w:trHeight w:val="141"/>
        </w:trPr>
        <w:tc>
          <w:tcPr>
            <w:tcW w:w="3120" w:type="dxa"/>
            <w:vAlign w:val="bottom"/>
            <w:vMerge w:val="continue"/>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650,000</w:t>
            </w: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519,762</w:t>
            </w: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1,865,158</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35,703</w:t>
            </w:r>
          </w:p>
        </w:tc>
        <w:tc>
          <w:tcPr>
            <w:tcW w:w="4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3,070,623</w:t>
            </w:r>
          </w:p>
        </w:tc>
        <w:tc>
          <w:tcPr>
            <w:tcW w:w="0" w:type="dxa"/>
            <w:vAlign w:val="bottom"/>
          </w:tcPr>
          <w:p>
            <w:pPr>
              <w:spacing w:after="0"/>
              <w:rPr>
                <w:sz w:val="1"/>
                <w:szCs w:val="1"/>
                <w:color w:val="auto"/>
              </w:rPr>
            </w:pPr>
          </w:p>
        </w:tc>
      </w:tr>
      <w:tr>
        <w:trPr>
          <w:trHeight w:val="12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8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20" w:type="dxa"/>
            <w:vAlign w:val="bottom"/>
            <w:vMerge w:val="continue"/>
          </w:tcPr>
          <w:p>
            <w:pPr>
              <w:spacing w:after="0"/>
              <w:rPr>
                <w:sz w:val="7"/>
                <w:szCs w:val="7"/>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625,000</w:t>
            </w: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727,646</w:t>
            </w: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1,312,640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36,226</w:t>
            </w:r>
          </w:p>
        </w:tc>
        <w:tc>
          <w:tcPr>
            <w:tcW w:w="4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2,701,512</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Merdian,</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624,000</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36,719</w:t>
            </w:r>
          </w:p>
        </w:tc>
        <w:tc>
          <w:tcPr>
            <w:tcW w:w="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2,060,772</w:t>
            </w:r>
          </w:p>
        </w:tc>
        <w:tc>
          <w:tcPr>
            <w:tcW w:w="0" w:type="dxa"/>
            <w:vAlign w:val="bottom"/>
          </w:tcPr>
          <w:p>
            <w:pPr>
              <w:spacing w:after="0"/>
              <w:rPr>
                <w:sz w:val="1"/>
                <w:szCs w:val="1"/>
                <w:color w:val="auto"/>
              </w:rPr>
            </w:pPr>
          </w:p>
        </w:tc>
      </w:tr>
      <w:tr>
        <w:trPr>
          <w:trHeight w:val="141"/>
        </w:trPr>
        <w:tc>
          <w:tcPr>
            <w:tcW w:w="3120" w:type="dxa"/>
            <w:vAlign w:val="bottom"/>
            <w:vMerge w:val="continue"/>
            <w:shd w:val="clear" w:color="auto" w:fill="CCEEFF"/>
          </w:tcPr>
          <w:p>
            <w:pPr>
              <w:spacing w:after="0"/>
              <w:rPr>
                <w:sz w:val="12"/>
                <w:szCs w:val="12"/>
                <w:color w:val="auto"/>
              </w:rPr>
            </w:pPr>
          </w:p>
        </w:tc>
        <w:tc>
          <w:tcPr>
            <w:tcW w:w="8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624,000</w:t>
            </w:r>
          </w:p>
        </w:tc>
        <w:tc>
          <w:tcPr>
            <w:tcW w:w="3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449,074</w:t>
            </w:r>
          </w:p>
        </w:tc>
        <w:tc>
          <w:tcPr>
            <w:tcW w:w="4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1,748,180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16,657</w:t>
            </w:r>
          </w:p>
        </w:tc>
        <w:tc>
          <w:tcPr>
            <w:tcW w:w="4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2,837,911</w:t>
            </w:r>
          </w:p>
        </w:tc>
        <w:tc>
          <w:tcPr>
            <w:tcW w:w="0" w:type="dxa"/>
            <w:vAlign w:val="bottom"/>
          </w:tcPr>
          <w:p>
            <w:pPr>
              <w:spacing w:after="0"/>
              <w:rPr>
                <w:sz w:val="1"/>
                <w:szCs w:val="1"/>
                <w:color w:val="auto"/>
              </w:rPr>
            </w:pPr>
          </w:p>
        </w:tc>
      </w:tr>
      <w:tr>
        <w:trPr>
          <w:trHeight w:val="129"/>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tc>
        <w:tc>
          <w:tcPr>
            <w:tcW w:w="8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20" w:type="dxa"/>
            <w:vAlign w:val="bottom"/>
            <w:vMerge w:val="continue"/>
            <w:shd w:val="clear" w:color="auto" w:fill="CCEEFF"/>
          </w:tcPr>
          <w:p>
            <w:pPr>
              <w:spacing w:after="0"/>
              <w:rPr>
                <w:sz w:val="7"/>
                <w:szCs w:val="7"/>
                <w:color w:val="auto"/>
              </w:rPr>
            </w:pPr>
          </w:p>
        </w:tc>
        <w:tc>
          <w:tcPr>
            <w:tcW w:w="8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600,000</w:t>
            </w:r>
          </w:p>
        </w:tc>
        <w:tc>
          <w:tcPr>
            <w:tcW w:w="3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628,686</w:t>
            </w:r>
          </w:p>
        </w:tc>
        <w:tc>
          <w:tcPr>
            <w:tcW w:w="4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1,200,036</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15,383</w:t>
            </w:r>
          </w:p>
        </w:tc>
        <w:tc>
          <w:tcPr>
            <w:tcW w:w="4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2,444,105</w:t>
            </w:r>
          </w:p>
        </w:tc>
        <w:tc>
          <w:tcPr>
            <w:tcW w:w="0" w:type="dxa"/>
            <w:vAlign w:val="bottom"/>
          </w:tcPr>
          <w:p>
            <w:pPr>
              <w:spacing w:after="0"/>
              <w:rPr>
                <w:sz w:val="1"/>
                <w:szCs w:val="1"/>
                <w:color w:val="auto"/>
              </w:rPr>
            </w:pPr>
          </w:p>
        </w:tc>
      </w:tr>
      <w:tr>
        <w:trPr>
          <w:trHeight w:val="202"/>
        </w:trPr>
        <w:tc>
          <w:tcPr>
            <w:tcW w:w="3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340" w:type="dxa"/>
            <w:vAlign w:val="bottom"/>
            <w:tcBorders>
              <w:bottom w:val="single" w:sz="8" w:color="CCEEFF"/>
            </w:tcBorders>
            <w:vMerge w:val="continue"/>
            <w:shd w:val="clear" w:color="auto" w:fill="CCEEFF"/>
          </w:tcPr>
          <w:p>
            <w:pPr>
              <w:spacing w:after="0"/>
              <w:rPr>
                <w:sz w:val="17"/>
                <w:szCs w:val="17"/>
                <w:color w:val="auto"/>
              </w:rPr>
            </w:pPr>
          </w:p>
        </w:tc>
        <w:tc>
          <w:tcPr>
            <w:tcW w:w="1100" w:type="dxa"/>
            <w:vAlign w:val="bottom"/>
            <w:tcBorders>
              <w:bottom w:val="single" w:sz="8" w:color="CCEEFF"/>
            </w:tcBorders>
            <w:vMerge w:val="continue"/>
            <w:shd w:val="clear" w:color="auto" w:fill="CCEEFF"/>
          </w:tcPr>
          <w:p>
            <w:pPr>
              <w:spacing w:after="0"/>
              <w:rPr>
                <w:sz w:val="17"/>
                <w:szCs w:val="17"/>
                <w:color w:val="auto"/>
              </w:rPr>
            </w:pPr>
          </w:p>
        </w:tc>
        <w:tc>
          <w:tcPr>
            <w:tcW w:w="440" w:type="dxa"/>
            <w:vAlign w:val="bottom"/>
            <w:tcBorders>
              <w:bottom w:val="single" w:sz="8" w:color="CCEEFF"/>
            </w:tcBorders>
            <w:vMerge w:val="continue"/>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300" w:type="dxa"/>
            <w:vAlign w:val="bottom"/>
            <w:tcBorders>
              <w:bottom w:val="single" w:sz="8" w:color="CCEEFF"/>
            </w:tcBorders>
            <w:vMerge w:val="continue"/>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Scott Garber, General Counsel and Corporate</w:t>
            </w: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468,000</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600,119</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19,416</w:t>
            </w: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1,087,535</w:t>
            </w:r>
          </w:p>
        </w:tc>
        <w:tc>
          <w:tcPr>
            <w:tcW w:w="0" w:type="dxa"/>
            <w:vAlign w:val="bottom"/>
          </w:tcPr>
          <w:p>
            <w:pPr>
              <w:spacing w:after="0"/>
              <w:rPr>
                <w:sz w:val="1"/>
                <w:szCs w:val="1"/>
                <w:color w:val="auto"/>
              </w:rPr>
            </w:pPr>
          </w:p>
        </w:tc>
      </w:tr>
      <w:tr>
        <w:trPr>
          <w:trHeight w:val="141"/>
        </w:trPr>
        <w:tc>
          <w:tcPr>
            <w:tcW w:w="3120" w:type="dxa"/>
            <w:vAlign w:val="bottom"/>
            <w:vMerge w:val="continue"/>
          </w:tcPr>
          <w:p>
            <w:pPr>
              <w:spacing w:after="0"/>
              <w:rPr>
                <w:sz w:val="12"/>
                <w:szCs w:val="12"/>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468,000</w:t>
            </w: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224,537</w:t>
            </w: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718,157</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19,274</w:t>
            </w:r>
          </w:p>
        </w:tc>
        <w:tc>
          <w:tcPr>
            <w:tcW w:w="4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1,429,968</w:t>
            </w:r>
          </w:p>
        </w:tc>
        <w:tc>
          <w:tcPr>
            <w:tcW w:w="0" w:type="dxa"/>
            <w:vAlign w:val="bottom"/>
          </w:tcPr>
          <w:p>
            <w:pPr>
              <w:spacing w:after="0"/>
              <w:rPr>
                <w:sz w:val="1"/>
                <w:szCs w:val="1"/>
                <w:color w:val="auto"/>
              </w:rPr>
            </w:pPr>
          </w:p>
        </w:tc>
      </w:tr>
      <w:tr>
        <w:trPr>
          <w:trHeight w:val="102"/>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Secretary</w:t>
            </w:r>
          </w:p>
        </w:tc>
        <w:tc>
          <w:tcPr>
            <w:tcW w:w="8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vMerge w:val="continue"/>
          </w:tcPr>
          <w:p>
            <w:pPr>
              <w:spacing w:after="0"/>
              <w:rPr>
                <w:sz w:val="9"/>
                <w:szCs w:val="9"/>
                <w:color w:val="auto"/>
              </w:rPr>
            </w:pPr>
          </w:p>
        </w:tc>
        <w:tc>
          <w:tcPr>
            <w:tcW w:w="8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450,000</w:t>
            </w:r>
          </w:p>
        </w:tc>
        <w:tc>
          <w:tcPr>
            <w:tcW w:w="3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314,343</w:t>
            </w: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450,105</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19,104</w:t>
            </w:r>
          </w:p>
        </w:tc>
        <w:tc>
          <w:tcPr>
            <w:tcW w:w="4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1,233,552</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*Mr. Lipar received no additional compensation for serving on the Board of Directors.</w:t>
      </w:r>
    </w:p>
    <w:p>
      <w:pPr>
        <w:spacing w:after="0" w:line="131" w:lineRule="exact"/>
        <w:rPr>
          <w:sz w:val="20"/>
          <w:szCs w:val="20"/>
          <w:color w:val="auto"/>
        </w:rPr>
      </w:pPr>
    </w:p>
    <w:p>
      <w:pPr>
        <w:ind w:left="500" w:hanging="330"/>
        <w:spacing w:after="0" w:line="298"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constitute the annual cash bonus program at payouts further discussed under “Compensation Discussion and Analysis - What We Paid and Why - Compensation for NEOs - Target Compensation Mix - 2025”.</w:t>
      </w:r>
    </w:p>
    <w:p>
      <w:pPr>
        <w:spacing w:after="0" w:line="42" w:lineRule="exact"/>
        <w:rPr>
          <w:rFonts w:ascii="Times New Roman" w:cs="Times New Roman" w:eastAsia="Times New Roman" w:hAnsi="Times New Roman"/>
          <w:sz w:val="16"/>
          <w:szCs w:val="16"/>
          <w:color w:val="auto"/>
        </w:rPr>
      </w:pPr>
    </w:p>
    <w:p>
      <w:pPr>
        <w:jc w:val="both"/>
        <w:ind w:left="500" w:hanging="330"/>
        <w:spacing w:after="0" w:line="263"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PSUs granted in 2025, the estimate of the grant date fair value determined in accordance with FASB ASC Topic 718 assumes the vesting of 100% of the PSUs granted. Assuming the highest level of performance is achieved, which would result in the vesting of 200% of the PSUs granted, the aggregate grant date fair value of the PSUs included for (i) 2025 would be $6,630,100, $2,400,000, $2,240,100, and $960,100 for Messrs. Lipar, Snider, Merdian, and Garber, respectively, (ii) 2024 would be $6,630,000, $2,183,900, $2,059,500, and $772,400 for Messrs. Lipar, Snider, Merdian, and Garber, respectively, and (iii) 2023 would be $6,630,200, $2,100,140, $1,920,000, and $720,100 for Messrs. Lipar, Snider, Merdian, and Garber, respectively.</w:t>
      </w:r>
    </w:p>
    <w:p>
      <w:pPr>
        <w:spacing w:after="0" w:line="71" w:lineRule="exact"/>
        <w:rPr>
          <w:rFonts w:ascii="Times New Roman" w:cs="Times New Roman" w:eastAsia="Times New Roman" w:hAnsi="Times New Roman"/>
          <w:sz w:val="16"/>
          <w:szCs w:val="16"/>
          <w:color w:val="auto"/>
        </w:rPr>
      </w:pPr>
    </w:p>
    <w:p>
      <w:pPr>
        <w:jc w:val="both"/>
        <w:ind w:left="500" w:hanging="330"/>
        <w:spacing w:after="0" w:line="257"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include the grant date fair value of the target number of PSUs of 44,148 ($3,315,073), 15,981 ($1,200,013), 14,916 ($1,120,042), and 6,393 ($480,050), awarded on March 8, 2025, to Messrs. Lipar, Snider, Merdian, and Garber, respectively, that provide for shares of our common stock to be issued based on the attainment of the performance metric of the Company over the three-year period, January 1, 2025 to December 31, 2027. The number of shares of our common stock that may be issued to the recipients for the PSUs range from 0% to 200% of the target amount depending on actual results as compared to the target performance metric. The terms of the PSUs provide that the payouts will be capped at 100% of the target number of PSUs granted if absolute TSR is negative during the performance period, regardless of EPS performance; this market condition applies for amounts recorded above target. The amounts shown reflect the grant date fair value of each such PSU of $75.09 per share, determined in accordance with FASB ASC Topic 718. See Note 9, “Stock-Based Compensation” to our consolidated financial statements included in our 2025 Annual Report, regarding assumptions underlying valuations of equity awards for 2025. Details regarding equity awards that are still outstanding can be found in the “Outstanding Equity Awards at December 31, 2025” table below.</w:t>
      </w:r>
    </w:p>
    <w:p>
      <w:pPr>
        <w:spacing w:after="0" w:line="89" w:lineRule="exact"/>
        <w:rPr>
          <w:rFonts w:ascii="Times New Roman" w:cs="Times New Roman" w:eastAsia="Times New Roman" w:hAnsi="Times New Roman"/>
          <w:sz w:val="16"/>
          <w:szCs w:val="16"/>
          <w:color w:val="auto"/>
        </w:rPr>
      </w:pPr>
    </w:p>
    <w:p>
      <w:pPr>
        <w:jc w:val="both"/>
        <w:ind w:left="500" w:hanging="330"/>
        <w:spacing w:after="0" w:line="258"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include the grant date fair value of the target number of PSUs of 29,615 ($3,315,103), 9,756 ($1,092,087), 8,920 ($998,505), and 3,345 ($374,439), awarded on March 8, 2024, to Messrs. Lipar, Snider, Merdian, and Garber, respectively, that provide for shares of our common stock to be issued based on the attainment of the performance metric of the Company over the three-year period, January 1, 2024 to December 31, 2026. The number of shares of our common stock that may be issued to the recipients for the PSUs range from 0% to 200% of the target amount depending on actual results as compared to the target performance metric. The terms of the PSUs provide that the payouts will be capped at 100% of the target number of PSUs granted if absolute TSR is negative during the performance period, regardless of EPS performance; this market condition applies for amounts recorded above target. The amounts shown reflect the grant date fair value of each such PSU of $111.94 per share, determined in accordance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95" w:lineRule="exact"/>
        <w:rPr>
          <w:sz w:val="20"/>
          <w:szCs w:val="20"/>
          <w:color w:val="auto"/>
        </w:rPr>
      </w:pPr>
    </w:p>
    <w:p>
      <w:pPr>
        <w:jc w:val="both"/>
        <w:ind w:left="500"/>
        <w:spacing w:after="0" w:line="272" w:lineRule="auto"/>
        <w:rPr>
          <w:sz w:val="20"/>
          <w:szCs w:val="20"/>
          <w:color w:val="auto"/>
        </w:rPr>
      </w:pPr>
      <w:r>
        <w:rPr>
          <w:rFonts w:ascii="Times New Roman" w:cs="Times New Roman" w:eastAsia="Times New Roman" w:hAnsi="Times New Roman"/>
          <w:sz w:val="16"/>
          <w:szCs w:val="16"/>
          <w:color w:val="auto"/>
        </w:rPr>
        <w:t>with FASB ASC Topic 718. See Note 9, “Stock-Based Compensation” to our consolidated financial statements included in our Annual Report on Form 10-K for the fiscal year ended December 31, 2024, regarding assumptions underlying valuations of equity awards for 2024. Details regarding equity awards that are still outstanding can be found in the “Outstanding Equity Awards at December 31, 2025” table below.</w:t>
      </w:r>
    </w:p>
    <w:p>
      <w:pPr>
        <w:spacing w:after="0" w:line="63" w:lineRule="exact"/>
        <w:rPr>
          <w:sz w:val="20"/>
          <w:szCs w:val="20"/>
          <w:color w:val="auto"/>
        </w:rPr>
      </w:pPr>
    </w:p>
    <w:p>
      <w:pPr>
        <w:jc w:val="both"/>
        <w:ind w:left="500" w:hanging="330"/>
        <w:spacing w:after="0" w:line="258"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include the grant date fair value of the target number of PSUs of 31,766 ($3,315,100), 10,062 ($1,050,070), 9,199 ($960,008), and 3,450 ($360,042), awarded on March 8, 2023, to Messrs. Lipar, Snider, Merdian, and Garber, respectively, that provide for shares of our common stock to be issued based on the attainment of the performance metric of the Company over the three-year period, January 1, 2023 to December 31, 2025. The number of shares of our common stock that may be issued to the recipients for the PSUs range from 0% to 200% of the target amount depending on actual results as compared to the target performance metric. The terms of the PSUs provide that the payouts will be capped at 100% of the target number of PSUs granted if absolute TSR is negative during the performance period, regardless of EPS performance; this market condition applies for amounts recorded above target. The amounts shown reflect the grant date fair value of each such PSU of $104.36 per share, determined in accordance with FASB ASC Topic 718. See Note 9, “Stock-Based Compensation” to our consolidated financial statements included in our Annual Report on Form 10-K for the fiscal year ended December 31, 2023, regarding assumptions underlying valuations of equity awards for 2023. Details regarding equity awards that are still outstanding can be found in the “Outstanding Equity Awards at December 31, 2025” table below.</w:t>
      </w:r>
    </w:p>
    <w:p>
      <w:pPr>
        <w:spacing w:after="0" w:line="271" w:lineRule="exact"/>
        <w:rPr>
          <w:rFonts w:ascii="Times New Roman" w:cs="Times New Roman" w:eastAsia="Times New Roman" w:hAnsi="Times New Roman"/>
          <w:sz w:val="16"/>
          <w:szCs w:val="16"/>
          <w:color w:val="auto"/>
        </w:rPr>
      </w:pPr>
    </w:p>
    <w:p>
      <w:pPr>
        <w:ind w:left="500" w:hanging="330"/>
        <w:spacing w:after="0"/>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compensation is detailed in the table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 Compensation</w:t>
            </w: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7"/>
              </w:rPr>
              <w:t>Short and</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401(k)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6"/>
              </w:rPr>
              <w:t>Long-Term</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Phone</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Club Dues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200" w:type="dxa"/>
            <w:vAlign w:val="bottom"/>
            <w:vMerge w:val="restart"/>
          </w:tcPr>
          <w:p>
            <w:pPr>
              <w:ind w:left="400"/>
              <w:spacing w:after="0" w:line="176" w:lineRule="exact"/>
              <w:rPr>
                <w:sz w:val="20"/>
                <w:szCs w:val="20"/>
                <w:color w:val="auto"/>
              </w:rPr>
            </w:pPr>
            <w:r>
              <w:rPr>
                <w:rFonts w:ascii="Times New Roman" w:cs="Times New Roman" w:eastAsia="Times New Roman" w:hAnsi="Times New Roman"/>
                <w:sz w:val="18"/>
                <w:szCs w:val="18"/>
                <w:color w:val="auto"/>
              </w:rPr>
              <w:t>Name</w:t>
            </w:r>
          </w:p>
        </w:tc>
        <w:tc>
          <w:tcPr>
            <w:tcW w:w="600" w:type="dxa"/>
            <w:vAlign w:val="bottom"/>
            <w:vMerge w:val="restart"/>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Year</w:t>
            </w:r>
          </w:p>
        </w:tc>
        <w:tc>
          <w:tcPr>
            <w:tcW w:w="180" w:type="dxa"/>
            <w:vAlign w:val="bottom"/>
          </w:tcPr>
          <w:p>
            <w:pPr>
              <w:spacing w:after="0"/>
              <w:rPr>
                <w:sz w:val="7"/>
                <w:szCs w:val="7"/>
                <w:color w:val="auto"/>
              </w:rPr>
            </w:pPr>
          </w:p>
        </w:tc>
        <w:tc>
          <w:tcPr>
            <w:tcW w:w="940" w:type="dxa"/>
            <w:vAlign w:val="bottom"/>
            <w:vMerge w:val="restart"/>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Company</w:t>
            </w:r>
          </w:p>
        </w:tc>
        <w:tc>
          <w:tcPr>
            <w:tcW w:w="1180" w:type="dxa"/>
            <w:vAlign w:val="bottom"/>
            <w:gridSpan w:val="2"/>
            <w:vMerge w:val="restart"/>
          </w:tcPr>
          <w:p>
            <w:pPr>
              <w:ind w:left="60"/>
              <w:spacing w:after="0" w:line="176" w:lineRule="exact"/>
              <w:rPr>
                <w:sz w:val="20"/>
                <w:szCs w:val="20"/>
                <w:color w:val="auto"/>
              </w:rPr>
            </w:pPr>
            <w:r>
              <w:rPr>
                <w:rFonts w:ascii="Times New Roman" w:cs="Times New Roman" w:eastAsia="Times New Roman" w:hAnsi="Times New Roman"/>
                <w:sz w:val="18"/>
                <w:szCs w:val="18"/>
                <w:color w:val="auto"/>
              </w:rPr>
              <w:t>Car Allowance</w:t>
            </w:r>
          </w:p>
        </w:tc>
        <w:tc>
          <w:tcPr>
            <w:tcW w:w="160" w:type="dxa"/>
            <w:vAlign w:val="bottom"/>
          </w:tcPr>
          <w:p>
            <w:pPr>
              <w:spacing w:after="0"/>
              <w:rPr>
                <w:sz w:val="7"/>
                <w:szCs w:val="7"/>
                <w:color w:val="auto"/>
              </w:rPr>
            </w:pPr>
          </w:p>
        </w:tc>
        <w:tc>
          <w:tcPr>
            <w:tcW w:w="1000" w:type="dxa"/>
            <w:vAlign w:val="bottom"/>
            <w:vMerge w:val="restart"/>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Disability</w:t>
            </w:r>
          </w:p>
        </w:tc>
        <w:tc>
          <w:tcPr>
            <w:tcW w:w="1240" w:type="dxa"/>
            <w:vAlign w:val="bottom"/>
            <w:gridSpan w:val="2"/>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ESPP Discount</w:t>
            </w: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340" w:type="dxa"/>
            <w:vAlign w:val="bottom"/>
            <w:gridSpan w:val="2"/>
            <w:vMerge w:val="restart"/>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Loyalty Bonus</w:t>
            </w:r>
          </w:p>
        </w:tc>
        <w:tc>
          <w:tcPr>
            <w:tcW w:w="9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vMerge w:val="restart"/>
          </w:tcPr>
          <w:p>
            <w:pPr>
              <w:jc w:val="right"/>
              <w:ind w:right="370"/>
              <w:spacing w:after="0" w:line="176" w:lineRule="exact"/>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86"/>
        </w:trPr>
        <w:tc>
          <w:tcPr>
            <w:tcW w:w="12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Allowance</w:t>
            </w:r>
          </w:p>
        </w:tc>
        <w:tc>
          <w:tcPr>
            <w:tcW w:w="1340" w:type="dxa"/>
            <w:vAlign w:val="bottom"/>
            <w:gridSpan w:val="2"/>
            <w:vMerge w:val="continue"/>
          </w:tcPr>
          <w:p>
            <w:pPr>
              <w:spacing w:after="0"/>
              <w:rPr>
                <w:sz w:val="7"/>
                <w:szCs w:val="7"/>
                <w:color w:val="auto"/>
              </w:rPr>
            </w:pP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8"/>
              </w:rPr>
              <w:t>Paid by Us</w:t>
            </w:r>
          </w:p>
        </w:tc>
        <w:tc>
          <w:tcPr>
            <w:tcW w:w="3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9"/>
              </w:rPr>
              <w:t>Match</w:t>
            </w: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Insurance</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Premiums</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63,208</w:t>
            </w:r>
          </w:p>
        </w:tc>
        <w:tc>
          <w:tcPr>
            <w:tcW w:w="0" w:type="dxa"/>
            <w:vAlign w:val="bottom"/>
          </w:tcPr>
          <w:p>
            <w:pPr>
              <w:spacing w:after="0"/>
              <w:rPr>
                <w:sz w:val="1"/>
                <w:szCs w:val="1"/>
                <w:color w:val="auto"/>
              </w:rPr>
            </w:pPr>
          </w:p>
        </w:tc>
      </w:tr>
      <w:tr>
        <w:trPr>
          <w:trHeight w:val="27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Lipar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63"/>
        </w:trPr>
        <w:tc>
          <w:tcPr>
            <w:tcW w:w="1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55,575</w:t>
            </w:r>
          </w:p>
        </w:tc>
        <w:tc>
          <w:tcPr>
            <w:tcW w:w="0" w:type="dxa"/>
            <w:vAlign w:val="bottom"/>
          </w:tcPr>
          <w:p>
            <w:pPr>
              <w:spacing w:after="0"/>
              <w:rPr>
                <w:sz w:val="1"/>
                <w:szCs w:val="1"/>
                <w:color w:val="auto"/>
              </w:rPr>
            </w:pPr>
          </w:p>
        </w:tc>
      </w:tr>
      <w:tr>
        <w:trPr>
          <w:trHeight w:val="27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 Snider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20,000 $</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36,719</w:t>
            </w:r>
          </w:p>
        </w:tc>
        <w:tc>
          <w:tcPr>
            <w:tcW w:w="0" w:type="dxa"/>
            <w:vAlign w:val="bottom"/>
          </w:tcPr>
          <w:p>
            <w:pPr>
              <w:spacing w:after="0"/>
              <w:rPr>
                <w:sz w:val="1"/>
                <w:szCs w:val="1"/>
                <w:color w:val="auto"/>
              </w:rPr>
            </w:pPr>
          </w:p>
        </w:tc>
      </w:tr>
      <w:tr>
        <w:trPr>
          <w:trHeight w:val="27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Merdian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0" w:type="dxa"/>
            <w:vAlign w:val="bottom"/>
          </w:tcPr>
          <w:p>
            <w:pPr>
              <w:spacing w:after="0"/>
              <w:rPr>
                <w:sz w:val="1"/>
                <w:szCs w:val="1"/>
                <w:color w:val="auto"/>
              </w:rPr>
            </w:pPr>
          </w:p>
        </w:tc>
      </w:tr>
      <w:tr>
        <w:trPr>
          <w:trHeight w:val="277"/>
        </w:trPr>
        <w:tc>
          <w:tcPr>
            <w:tcW w:w="1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19,416</w:t>
            </w:r>
          </w:p>
        </w:tc>
        <w:tc>
          <w:tcPr>
            <w:tcW w:w="0" w:type="dxa"/>
            <w:vAlign w:val="bottom"/>
          </w:tcPr>
          <w:p>
            <w:pPr>
              <w:spacing w:after="0"/>
              <w:rPr>
                <w:sz w:val="1"/>
                <w:szCs w:val="1"/>
                <w:color w:val="auto"/>
              </w:rPr>
            </w:pPr>
          </w:p>
        </w:tc>
      </w:tr>
      <w:tr>
        <w:trPr>
          <w:trHeight w:val="311"/>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Garber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5"/>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7"/>
              </w:rPr>
              <w:t>non-equity incentive plan awards (1)</w:t>
            </w:r>
          </w:p>
        </w:tc>
        <w:tc>
          <w:tcPr>
            <w:tcW w:w="2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equity incentive plan awards (2)(3)</w:t>
            </w:r>
          </w:p>
        </w:tc>
        <w:tc>
          <w:tcPr>
            <w:tcW w:w="8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All other option</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All other stock</w:t>
            </w: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Exercise or base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 date fair</w:t>
            </w:r>
          </w:p>
        </w:tc>
        <w:tc>
          <w:tcPr>
            <w:tcW w:w="0" w:type="dxa"/>
            <w:vAlign w:val="bottom"/>
          </w:tcPr>
          <w:p>
            <w:pPr>
              <w:spacing w:after="0"/>
              <w:rPr>
                <w:sz w:val="1"/>
                <w:szCs w:val="1"/>
                <w:color w:val="auto"/>
              </w:rPr>
            </w:pPr>
          </w:p>
        </w:tc>
      </w:tr>
      <w:tr>
        <w:trPr>
          <w:trHeight w:val="106"/>
        </w:trPr>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of</w:t>
            </w: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7"/>
              </w:rPr>
              <w:t>awards: Number</w:t>
            </w:r>
          </w:p>
        </w:tc>
        <w:tc>
          <w:tcPr>
            <w:tcW w:w="86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88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4"/>
              </w:rPr>
              <w:t>price of</w:t>
            </w:r>
          </w:p>
        </w:tc>
        <w:tc>
          <w:tcPr>
            <w:tcW w:w="8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w w:val="96"/>
              </w:rPr>
              <w:t>value of stock</w:t>
            </w:r>
          </w:p>
        </w:tc>
        <w:tc>
          <w:tcPr>
            <w:tcW w:w="0" w:type="dxa"/>
            <w:vAlign w:val="bottom"/>
          </w:tcPr>
          <w:p>
            <w:pPr>
              <w:spacing w:after="0"/>
              <w:rPr>
                <w:sz w:val="1"/>
                <w:szCs w:val="1"/>
                <w:color w:val="auto"/>
              </w:rPr>
            </w:pPr>
          </w:p>
        </w:tc>
      </w:tr>
      <w:tr>
        <w:trPr>
          <w:trHeight w:val="94"/>
        </w:trPr>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Type of Award</w:t>
            </w:r>
          </w:p>
        </w:tc>
        <w:tc>
          <w:tcPr>
            <w:tcW w:w="140" w:type="dxa"/>
            <w:vAlign w:val="bottom"/>
          </w:tcPr>
          <w:p>
            <w:pPr>
              <w:spacing w:after="0"/>
              <w:rPr>
                <w:sz w:val="8"/>
                <w:szCs w:val="8"/>
                <w:color w:val="auto"/>
              </w:rPr>
            </w:pPr>
          </w:p>
        </w:tc>
        <w:tc>
          <w:tcPr>
            <w:tcW w:w="720" w:type="dxa"/>
            <w:vAlign w:val="bottom"/>
            <w:vMerge w:val="restart"/>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200" w:type="dxa"/>
            <w:vAlign w:val="bottom"/>
          </w:tcPr>
          <w:p>
            <w:pPr>
              <w:spacing w:after="0"/>
              <w:rPr>
                <w:sz w:val="8"/>
                <w:szCs w:val="8"/>
                <w:color w:val="auto"/>
              </w:rPr>
            </w:pPr>
          </w:p>
        </w:tc>
        <w:tc>
          <w:tcPr>
            <w:tcW w:w="660" w:type="dxa"/>
            <w:vAlign w:val="bottom"/>
            <w:vMerge w:val="restart"/>
          </w:tcPr>
          <w:p>
            <w:pPr>
              <w:jc w:val="center"/>
              <w:ind w:right="99"/>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160" w:type="dxa"/>
            <w:vAlign w:val="bottom"/>
          </w:tcPr>
          <w:p>
            <w:pPr>
              <w:spacing w:after="0"/>
              <w:rPr>
                <w:sz w:val="8"/>
                <w:szCs w:val="8"/>
                <w:color w:val="auto"/>
              </w:rPr>
            </w:pP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920" w:type="dxa"/>
            <w:vAlign w:val="bottom"/>
            <w:vMerge w:val="restart"/>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8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of shares of stock</w:t>
            </w:r>
          </w:p>
        </w:tc>
        <w:tc>
          <w:tcPr>
            <w:tcW w:w="8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underlying</w:t>
            </w:r>
          </w:p>
        </w:tc>
        <w:tc>
          <w:tcPr>
            <w:tcW w:w="88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option awards</w:t>
            </w:r>
          </w:p>
        </w:tc>
        <w:tc>
          <w:tcPr>
            <w:tcW w:w="8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and option</w:t>
            </w:r>
          </w:p>
        </w:tc>
        <w:tc>
          <w:tcPr>
            <w:tcW w:w="0" w:type="dxa"/>
            <w:vAlign w:val="bottom"/>
          </w:tcPr>
          <w:p>
            <w:pPr>
              <w:spacing w:after="0"/>
              <w:rPr>
                <w:sz w:val="1"/>
                <w:szCs w:val="1"/>
                <w:color w:val="auto"/>
              </w:rPr>
            </w:pPr>
          </w:p>
        </w:tc>
      </w:tr>
      <w:tr>
        <w:trPr>
          <w:trHeight w:val="169"/>
        </w:trPr>
        <w:tc>
          <w:tcPr>
            <w:tcW w:w="8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or units (#) (2)</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($/Sh)</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awards (3)(4)</w:t>
            </w:r>
          </w:p>
        </w:tc>
        <w:tc>
          <w:tcPr>
            <w:tcW w:w="0" w:type="dxa"/>
            <w:vAlign w:val="bottom"/>
          </w:tcPr>
          <w:p>
            <w:pPr>
              <w:spacing w:after="0"/>
              <w:rPr>
                <w:sz w:val="1"/>
                <w:szCs w:val="1"/>
                <w:color w:val="auto"/>
              </w:rPr>
            </w:pPr>
          </w:p>
        </w:tc>
      </w:tr>
      <w:tr>
        <w:trPr>
          <w:trHeight w:val="18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 Lipar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STI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609,500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2,438,000</w:t>
            </w:r>
          </w:p>
        </w:tc>
        <w:tc>
          <w:tcPr>
            <w:tcW w:w="9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PSU</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22,074</w:t>
            </w: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44,148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88,296</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$3,315,073</w:t>
            </w:r>
          </w:p>
        </w:tc>
        <w:tc>
          <w:tcPr>
            <w:tcW w:w="0" w:type="dxa"/>
            <w:vAlign w:val="bottom"/>
          </w:tcPr>
          <w:p>
            <w:pPr>
              <w:spacing w:after="0"/>
              <w:rPr>
                <w:sz w:val="1"/>
                <w:szCs w:val="1"/>
                <w:color w:val="auto"/>
              </w:rPr>
            </w:pPr>
          </w:p>
        </w:tc>
      </w:tr>
      <w:tr>
        <w:trPr>
          <w:trHeight w:val="232"/>
        </w:trPr>
        <w:tc>
          <w:tcPr>
            <w:tcW w:w="8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RSU</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11,037</w:t>
            </w:r>
          </w:p>
        </w:tc>
        <w:tc>
          <w:tcPr>
            <w:tcW w:w="8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$828,768</w:t>
            </w:r>
          </w:p>
        </w:tc>
        <w:tc>
          <w:tcPr>
            <w:tcW w:w="0" w:type="dxa"/>
            <w:vAlign w:val="bottom"/>
          </w:tcPr>
          <w:p>
            <w:pPr>
              <w:spacing w:after="0"/>
              <w:rPr>
                <w:sz w:val="1"/>
                <w:szCs w:val="1"/>
                <w:color w:val="auto"/>
              </w:rPr>
            </w:pPr>
          </w:p>
        </w:tc>
      </w:tr>
      <w:tr>
        <w:trPr>
          <w:trHeight w:val="200"/>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 Snider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STI</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1,300,000</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PSU</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auto"/>
              </w:rPr>
              <w:t>7,991</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15,981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31,962</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$1,200,013</w:t>
            </w:r>
          </w:p>
        </w:tc>
        <w:tc>
          <w:tcPr>
            <w:tcW w:w="0" w:type="dxa"/>
            <w:vAlign w:val="bottom"/>
          </w:tcPr>
          <w:p>
            <w:pPr>
              <w:spacing w:after="0"/>
              <w:rPr>
                <w:sz w:val="1"/>
                <w:szCs w:val="1"/>
                <w:color w:val="auto"/>
              </w:rPr>
            </w:pPr>
          </w:p>
        </w:tc>
      </w:tr>
      <w:tr>
        <w:trPr>
          <w:trHeight w:val="224"/>
        </w:trPr>
        <w:tc>
          <w:tcPr>
            <w:tcW w:w="8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RSU</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3,996</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$300,060</w:t>
            </w:r>
          </w:p>
        </w:tc>
        <w:tc>
          <w:tcPr>
            <w:tcW w:w="0" w:type="dxa"/>
            <w:vAlign w:val="bottom"/>
          </w:tcPr>
          <w:p>
            <w:pPr>
              <w:spacing w:after="0"/>
              <w:rPr>
                <w:sz w:val="1"/>
                <w:szCs w:val="1"/>
                <w:color w:val="auto"/>
              </w:rPr>
            </w:pPr>
          </w:p>
        </w:tc>
      </w:tr>
      <w:tr>
        <w:trPr>
          <w:trHeight w:val="208"/>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 Merdian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STI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1,124,000</w:t>
            </w: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PSU</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7,458</w:t>
            </w: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14,916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29,832</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$1,120,042</w:t>
            </w:r>
          </w:p>
        </w:tc>
        <w:tc>
          <w:tcPr>
            <w:tcW w:w="0" w:type="dxa"/>
            <w:vAlign w:val="bottom"/>
          </w:tcPr>
          <w:p>
            <w:pPr>
              <w:spacing w:after="0"/>
              <w:rPr>
                <w:sz w:val="1"/>
                <w:szCs w:val="1"/>
                <w:color w:val="auto"/>
              </w:rPr>
            </w:pPr>
          </w:p>
        </w:tc>
      </w:tr>
      <w:tr>
        <w:trPr>
          <w:trHeight w:val="232"/>
        </w:trPr>
        <w:tc>
          <w:tcPr>
            <w:tcW w:w="8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RSU</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3,729</w:t>
            </w:r>
          </w:p>
        </w:tc>
        <w:tc>
          <w:tcPr>
            <w:tcW w:w="8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$280,011</w:t>
            </w:r>
          </w:p>
        </w:tc>
        <w:tc>
          <w:tcPr>
            <w:tcW w:w="0" w:type="dxa"/>
            <w:vAlign w:val="bottom"/>
          </w:tcPr>
          <w:p>
            <w:pPr>
              <w:spacing w:after="0"/>
              <w:rPr>
                <w:sz w:val="1"/>
                <w:szCs w:val="1"/>
                <w:color w:val="auto"/>
              </w:rPr>
            </w:pPr>
          </w:p>
        </w:tc>
      </w:tr>
      <w:tr>
        <w:trPr>
          <w:trHeight w:val="200"/>
        </w:trPr>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 Garber</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STI</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562,000</w:t>
            </w: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PSU</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auto"/>
              </w:rPr>
              <w:t>3,197</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6,393</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12,786</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$480,050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3/8/2025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RSU</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auto"/>
              </w:rPr>
              <w:t>1,599</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$120,069</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hanging="331"/>
        <w:spacing w:after="0" w:line="280" w:lineRule="auto"/>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non-equity incentive plan payouts for 2025 are discussed under “Compensation Discussion and Analysis - What We Paid and Why - Compensation for NEOs - Target Compensation Mix - 2025”.</w:t>
      </w:r>
    </w:p>
    <w:p>
      <w:pPr>
        <w:spacing w:after="0" w:line="70" w:lineRule="exact"/>
        <w:rPr>
          <w:rFonts w:ascii="Times New Roman" w:cs="Times New Roman" w:eastAsia="Times New Roman" w:hAnsi="Times New Roman"/>
          <w:sz w:val="16"/>
          <w:szCs w:val="16"/>
          <w:color w:val="auto"/>
        </w:rPr>
      </w:pPr>
    </w:p>
    <w:p>
      <w:pPr>
        <w:ind w:left="400" w:hanging="331"/>
        <w:spacing w:after="0"/>
        <w:tabs>
          <w:tab w:leader="none" w:pos="4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awards granted in 2025 have a three-year cliff vest, subject in the case of PSU awards, to achievement of established performance metrics.</w:t>
      </w:r>
    </w:p>
    <w:p>
      <w:pPr>
        <w:spacing w:after="0" w:line="113" w:lineRule="exact"/>
        <w:rPr>
          <w:rFonts w:ascii="Times New Roman" w:cs="Times New Roman" w:eastAsia="Times New Roman" w:hAnsi="Times New Roman"/>
          <w:sz w:val="16"/>
          <w:szCs w:val="16"/>
          <w:color w:val="auto"/>
        </w:rPr>
      </w:pPr>
    </w:p>
    <w:p>
      <w:pPr>
        <w:ind w:left="400" w:hanging="331"/>
        <w:spacing w:after="0" w:line="260" w:lineRule="auto"/>
        <w:tabs>
          <w:tab w:leader="none" w:pos="30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have a fair value equal to the closing price of our stock on the date of grant in accordance with the requirements of FASB ASC Topic 718. The grant-date fair value amounts relating to the performance share awards represent the grant-date fair value assuming the attainment of the EPS performance metric over the applicable three-year period. The terms of the PSUs provide that the payouts will be capped at 100% of the target number of PSUs granted if absolute TSR is negative during the performance period, regardless of EPS performance; this market condition applies for amounts recorded above target. The compensation expense associated with the grants of PSU is determined using the derived grant date fair value of $75.09 based on a third-party valuation analysis provided by Meridian, and expensed over the applicable period.</w:t>
      </w:r>
    </w:p>
    <w:p>
      <w:pPr>
        <w:spacing w:after="0" w:line="73" w:lineRule="exact"/>
        <w:rPr>
          <w:rFonts w:ascii="Times New Roman" w:cs="Times New Roman" w:eastAsia="Times New Roman" w:hAnsi="Times New Roman"/>
          <w:sz w:val="16"/>
          <w:szCs w:val="16"/>
          <w:color w:val="auto"/>
        </w:rPr>
      </w:pPr>
    </w:p>
    <w:p>
      <w:pPr>
        <w:ind w:left="400" w:hanging="331"/>
        <w:spacing w:after="0" w:line="298" w:lineRule="auto"/>
        <w:tabs>
          <w:tab w:leader="none" w:pos="30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 fair value for the March 8, 2025 RSU awards is calculated using the $75.09 closing stock price on March 7, 2025 (the last trading day prior to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220980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50" w:name="page51"/>
    <w:bookmarkEnd w:id="50"/>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RSUs and PSUs granted under the 2013 Incentive Plan to each of our NEOs and outstanding at December 31,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PSUs That Have Not</w:t>
            </w: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 PSUs That Have Not</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Vested </w:t>
            </w:r>
            <w:r>
              <w:rPr>
                <w:rFonts w:ascii="Times New Roman" w:cs="Times New Roman" w:eastAsia="Times New Roman" w:hAnsi="Times New Roman"/>
                <w:sz w:val="9"/>
                <w:szCs w:val="9"/>
                <w:b w:val="1"/>
                <w:bCs w:val="1"/>
                <w:color w:val="auto"/>
                <w:w w:val="99"/>
              </w:rPr>
              <w:t>(4)</w:t>
            </w:r>
          </w:p>
        </w:tc>
        <w:tc>
          <w:tcPr>
            <w:tcW w:w="0" w:type="dxa"/>
            <w:vAlign w:val="bottom"/>
          </w:tcPr>
          <w:p>
            <w:pPr>
              <w:spacing w:after="0"/>
              <w:rPr>
                <w:sz w:val="1"/>
                <w:szCs w:val="1"/>
                <w:color w:val="auto"/>
              </w:rPr>
            </w:pPr>
          </w:p>
        </w:tc>
      </w:tr>
      <w:tr>
        <w:trPr>
          <w:trHeight w:val="60"/>
        </w:trPr>
        <w:tc>
          <w:tcPr>
            <w:tcW w:w="1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4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 That Have</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RSUs Grant Date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Not Vested </w:t>
            </w:r>
            <w:r>
              <w:rPr>
                <w:rFonts w:ascii="Times New Roman" w:cs="Times New Roman" w:eastAsia="Times New Roman" w:hAnsi="Times New Roman"/>
                <w:sz w:val="18"/>
                <w:szCs w:val="18"/>
                <w:b w:val="1"/>
                <w:bCs w:val="1"/>
                <w:color w:val="auto"/>
                <w:w w:val="96"/>
                <w:vertAlign w:val="superscript"/>
              </w:rPr>
              <w:t>(5)</w:t>
            </w:r>
          </w:p>
        </w:tc>
        <w:tc>
          <w:tcPr>
            <w:tcW w:w="1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PSUs Grant Date</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8"/>
                <w:szCs w:val="18"/>
                <w:b w:val="1"/>
                <w:bCs w:val="1"/>
                <w:color w:val="auto"/>
                <w:vertAlign w:val="superscript"/>
              </w:rPr>
              <w:t>(6)</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Maximum </w:t>
            </w:r>
            <w:r>
              <w:rPr>
                <w:rFonts w:ascii="Times New Roman" w:cs="Times New Roman" w:eastAsia="Times New Roman" w:hAnsi="Times New Roman"/>
                <w:sz w:val="18"/>
                <w:szCs w:val="18"/>
                <w:b w:val="1"/>
                <w:bCs w:val="1"/>
                <w:color w:val="auto"/>
                <w:vertAlign w:val="superscript"/>
              </w:rPr>
              <w:t>(7)</w:t>
            </w: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8"/>
                <w:szCs w:val="18"/>
                <w:b w:val="1"/>
                <w:bCs w:val="1"/>
                <w:color w:val="auto"/>
                <w:vertAlign w:val="superscript"/>
              </w:rPr>
              <w:t>(6)</w:t>
            </w: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Maximum </w:t>
            </w:r>
            <w:r>
              <w:rPr>
                <w:rFonts w:ascii="Times New Roman" w:cs="Times New Roman" w:eastAsia="Times New Roman" w:hAnsi="Times New Roman"/>
                <w:sz w:val="18"/>
                <w:szCs w:val="18"/>
                <w:b w:val="1"/>
                <w:bCs w:val="1"/>
                <w:color w:val="auto"/>
                <w:vertAlign w:val="superscript"/>
              </w:rPr>
              <w:t>(7)</w:t>
            </w:r>
          </w:p>
        </w:tc>
        <w:tc>
          <w:tcPr>
            <w:tcW w:w="0" w:type="dxa"/>
            <w:vAlign w:val="bottom"/>
          </w:tcPr>
          <w:p>
            <w:pPr>
              <w:spacing w:after="0"/>
              <w:rPr>
                <w:sz w:val="1"/>
                <w:szCs w:val="1"/>
                <w:color w:val="auto"/>
              </w:rPr>
            </w:pPr>
          </w:p>
        </w:tc>
      </w:tr>
      <w:tr>
        <w:trPr>
          <w:trHeight w:val="305"/>
        </w:trPr>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11,037</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$474,150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8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44,148</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88,296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$1,896,598</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$3,793,196</w:t>
            </w:r>
          </w:p>
        </w:tc>
        <w:tc>
          <w:tcPr>
            <w:tcW w:w="0" w:type="dxa"/>
            <w:vAlign w:val="bottom"/>
          </w:tcPr>
          <w:p>
            <w:pPr>
              <w:spacing w:after="0"/>
              <w:rPr>
                <w:sz w:val="1"/>
                <w:szCs w:val="1"/>
                <w:color w:val="auto"/>
              </w:rPr>
            </w:pPr>
          </w:p>
        </w:tc>
      </w:tr>
      <w:tr>
        <w:trPr>
          <w:trHeight w:val="432"/>
        </w:trPr>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Eric Lipar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7,404</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$318,076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8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29,615</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59,230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$1,272,260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$2,544,521</w:t>
            </w:r>
          </w:p>
        </w:tc>
        <w:tc>
          <w:tcPr>
            <w:tcW w:w="0" w:type="dxa"/>
            <w:vAlign w:val="bottom"/>
          </w:tcPr>
          <w:p>
            <w:pPr>
              <w:spacing w:after="0"/>
              <w:rPr>
                <w:sz w:val="1"/>
                <w:szCs w:val="1"/>
                <w:color w:val="auto"/>
              </w:rPr>
            </w:pPr>
          </w:p>
        </w:tc>
      </w:tr>
      <w:tr>
        <w:trPr>
          <w:trHeight w:val="432"/>
        </w:trPr>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7,942</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$341,188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8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31,766</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63,532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$1,364,667</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$2,729,335</w:t>
            </w:r>
          </w:p>
        </w:tc>
        <w:tc>
          <w:tcPr>
            <w:tcW w:w="0" w:type="dxa"/>
            <w:vAlign w:val="bottom"/>
          </w:tcPr>
          <w:p>
            <w:pPr>
              <w:spacing w:after="0"/>
              <w:rPr>
                <w:sz w:val="1"/>
                <w:szCs w:val="1"/>
                <w:color w:val="auto"/>
              </w:rPr>
            </w:pPr>
          </w:p>
        </w:tc>
      </w:tr>
      <w:tr>
        <w:trPr>
          <w:trHeight w:val="114"/>
        </w:trPr>
        <w:tc>
          <w:tcPr>
            <w:tcW w:w="124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3,996</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$171,668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8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15,981</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31,962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$686,544</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$1,373,088</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5,008</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$215,144</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Snider</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2,439</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$104,779</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9,756</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19,512</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$419,118</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$838,236</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2,516</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$108,087</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86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rPr>
              <w:t>10,062</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20,124</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$432,264</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$864,527</w:t>
            </w:r>
          </w:p>
        </w:tc>
        <w:tc>
          <w:tcPr>
            <w:tcW w:w="0" w:type="dxa"/>
            <w:vAlign w:val="bottom"/>
          </w:tcPr>
          <w:p>
            <w:pPr>
              <w:spacing w:after="0"/>
              <w:rPr>
                <w:sz w:val="1"/>
                <w:szCs w:val="1"/>
                <w:color w:val="auto"/>
              </w:rPr>
            </w:pPr>
          </w:p>
        </w:tc>
      </w:tr>
      <w:tr>
        <w:trPr>
          <w:trHeight w:val="114"/>
        </w:trPr>
        <w:tc>
          <w:tcPr>
            <w:tcW w:w="1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3,729</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$160,198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86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6"/>
                <w:szCs w:val="16"/>
                <w:color w:val="auto"/>
              </w:rPr>
              <w:t>14,916</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29,832</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$640,791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$1,281,583</w:t>
            </w:r>
          </w:p>
        </w:tc>
        <w:tc>
          <w:tcPr>
            <w:tcW w:w="0" w:type="dxa"/>
            <w:vAlign w:val="bottom"/>
          </w:tcPr>
          <w:p>
            <w:pPr>
              <w:spacing w:after="0"/>
              <w:rPr>
                <w:sz w:val="1"/>
                <w:szCs w:val="1"/>
                <w:color w:val="auto"/>
              </w:rPr>
            </w:pPr>
          </w:p>
        </w:tc>
      </w:tr>
      <w:tr>
        <w:trPr>
          <w:trHeight w:val="418"/>
        </w:trPr>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12/15/2024</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5,008</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$215,144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Charles Merdian</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2,230</w:t>
            </w:r>
          </w:p>
        </w:tc>
        <w:tc>
          <w:tcPr>
            <w:tcW w:w="4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$95,801</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860" w:type="dxa"/>
            <w:vAlign w:val="bottom"/>
            <w:vMerge w:val="restart"/>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8,920</w:t>
            </w:r>
          </w:p>
        </w:tc>
        <w:tc>
          <w:tcPr>
            <w:tcW w:w="1380" w:type="dxa"/>
            <w:vAlign w:val="bottom"/>
            <w:vMerge w:val="restart"/>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17,840</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$383,203</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$766,406</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2,300</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$98,808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8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9,199</w:t>
            </w:r>
          </w:p>
        </w:tc>
        <w:tc>
          <w:tcPr>
            <w:tcW w:w="13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w w:val="99"/>
              </w:rPr>
              <w:t>18,398</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$395,189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$790,378</w:t>
            </w:r>
          </w:p>
        </w:tc>
        <w:tc>
          <w:tcPr>
            <w:tcW w:w="0" w:type="dxa"/>
            <w:vAlign w:val="bottom"/>
          </w:tcPr>
          <w:p>
            <w:pPr>
              <w:spacing w:after="0"/>
              <w:rPr>
                <w:sz w:val="1"/>
                <w:szCs w:val="1"/>
                <w:color w:val="auto"/>
              </w:rPr>
            </w:pPr>
          </w:p>
        </w:tc>
      </w:tr>
      <w:tr>
        <w:trPr>
          <w:trHeight w:val="114"/>
        </w:trPr>
        <w:tc>
          <w:tcPr>
            <w:tcW w:w="124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1,599</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$68,693</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3/8/2025</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6,393</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12,786</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$274,643</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$549,287</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2,504</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$107,572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Scott Garber</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837</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$35,958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3/8/2024</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3,345</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6,690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$143,701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$287,402</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863</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$37,074</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3/8/2023</w:t>
            </w:r>
          </w:p>
        </w:tc>
        <w:tc>
          <w:tcPr>
            <w:tcW w:w="8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3,450</w:t>
            </w:r>
          </w:p>
        </w:tc>
        <w:tc>
          <w:tcPr>
            <w:tcW w:w="13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w w:val="99"/>
              </w:rPr>
              <w:t>6,900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$148,212</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$296,424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hanging="330"/>
        <w:spacing w:after="0" w:line="280"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2025, 11,037, 3,996, 3,729, and 1,599 RSUs were granted to Messrs. Lipar, Snider, Merdian, and Garber, respectively, representing a portion of the 2025 LTI program. The RSUs vest on the third anniversary date of the grant and will be settled in shares of our common stock.</w:t>
      </w:r>
    </w:p>
    <w:p>
      <w:pPr>
        <w:spacing w:after="0" w:line="232" w:lineRule="exact"/>
        <w:rPr>
          <w:rFonts w:ascii="Times New Roman" w:cs="Times New Roman" w:eastAsia="Times New Roman" w:hAnsi="Times New Roman"/>
          <w:sz w:val="16"/>
          <w:szCs w:val="16"/>
          <w:color w:val="auto"/>
        </w:rPr>
      </w:pPr>
    </w:p>
    <w:p>
      <w:pPr>
        <w:ind w:left="500" w:hanging="330"/>
        <w:spacing w:after="0" w:line="280"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2024, 7,404, 2,439, 2,230, and 837 RSUs were granted to Messrs. Lipar, Snider, Merdian, and Garber, respectively, representing a portion of the 2024 LTI program. The RSUs vest on the third anniversary date of the grant and will be settled in shares of our common stock.</w:t>
      </w:r>
    </w:p>
    <w:p>
      <w:pPr>
        <w:spacing w:after="0" w:line="245" w:lineRule="exact"/>
        <w:rPr>
          <w:rFonts w:ascii="Times New Roman" w:cs="Times New Roman" w:eastAsia="Times New Roman" w:hAnsi="Times New Roman"/>
          <w:sz w:val="16"/>
          <w:szCs w:val="16"/>
          <w:color w:val="auto"/>
        </w:rPr>
      </w:pPr>
    </w:p>
    <w:p>
      <w:pPr>
        <w:ind w:left="500" w:hanging="330"/>
        <w:spacing w:after="0" w:line="280"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2023, 7,942, 2,516, 2,300, and 863 RSUs were granted to Messrs. Lipar, Snider, Merdian, and Garber, respectively, representing a portion of the 2023 LTI program. The RSUs vest on the third anniversary date of the grant and will be settled in shares of our common stock.</w:t>
      </w:r>
    </w:p>
    <w:p>
      <w:pPr>
        <w:spacing w:after="0" w:line="56" w:lineRule="exact"/>
        <w:rPr>
          <w:rFonts w:ascii="Times New Roman" w:cs="Times New Roman" w:eastAsia="Times New Roman" w:hAnsi="Times New Roman"/>
          <w:sz w:val="16"/>
          <w:szCs w:val="16"/>
          <w:color w:val="auto"/>
        </w:rPr>
      </w:pPr>
    </w:p>
    <w:p>
      <w:pPr>
        <w:ind w:left="500" w:hanging="330"/>
        <w:spacing w:after="0" w:line="298"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15, 2024, 5,008, 5,008, and 2,504 RSUs were granted to Messrs. Snider, Merdian, and Garber, respectively, representing a discretionary grant approved by the Compensation Committee. The RSUs vest on the third anniversary date of the grant and will be settled in shares of our common stock.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200" w:lineRule="exact"/>
        <w:rPr>
          <w:sz w:val="20"/>
          <w:szCs w:val="20"/>
          <w:color w:val="auto"/>
        </w:rPr>
      </w:pPr>
    </w:p>
    <w:p>
      <w:pPr>
        <w:spacing w:after="0" w:line="295" w:lineRule="exact"/>
        <w:rPr>
          <w:sz w:val="20"/>
          <w:szCs w:val="20"/>
          <w:color w:val="auto"/>
        </w:rPr>
      </w:pPr>
    </w:p>
    <w:p>
      <w:pPr>
        <w:ind w:left="500" w:hanging="330"/>
        <w:spacing w:after="0" w:line="280"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RSUs and PSUs that have not vested is based on the closing stock price of $42.96 per share of our common stock on the NASDAQ Global Select Market on December 31, 2025, the last trading day of 2025.</w:t>
      </w:r>
    </w:p>
    <w:p>
      <w:pPr>
        <w:spacing w:after="0" w:line="70" w:lineRule="exact"/>
        <w:rPr>
          <w:rFonts w:ascii="Times New Roman" w:cs="Times New Roman" w:eastAsia="Times New Roman" w:hAnsi="Times New Roman"/>
          <w:sz w:val="16"/>
          <w:szCs w:val="16"/>
          <w:color w:val="auto"/>
        </w:rPr>
      </w:pPr>
    </w:p>
    <w:p>
      <w:pPr>
        <w:jc w:val="both"/>
        <w:ind w:left="500" w:hanging="330"/>
        <w:spacing w:after="0" w:line="258"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approved target PSUs awards that provide for shares of our common stock to be issued based on the attainment of the performance metric of the Company over the applicable three-year performance period. The PSUs vest upon the determination date for the actual results at the end of the three-year period and require the recipients continue to be employed by the Company through the determination date. The PSUs will be settled in shares of our common stock. The performance period for the 2025 awards is January 1, 2025 to December 31, 2027. The performance period for the 2024 awards is January 1, 2024 to December 31, 2026. The performance period for the 2023 awards is January 1, 2023 to December 31, 2025. The 2023 grants will be settled at 53.4% of the target amount resulting in the issuance of 16,956, 5,371, 4,911, and 1,842 shares of our common stock to Messrs. Lipar, Snider, Merdian and Garber, respectively, in settlement of the 2023 grants.</w:t>
      </w:r>
    </w:p>
    <w:p>
      <w:pPr>
        <w:spacing w:after="0" w:line="87" w:lineRule="exact"/>
        <w:rPr>
          <w:rFonts w:ascii="Times New Roman" w:cs="Times New Roman" w:eastAsia="Times New Roman" w:hAnsi="Times New Roman"/>
          <w:sz w:val="16"/>
          <w:szCs w:val="16"/>
          <w:color w:val="auto"/>
        </w:rPr>
      </w:pPr>
    </w:p>
    <w:p>
      <w:pPr>
        <w:jc w:val="both"/>
        <w:ind w:left="500" w:hanging="330"/>
        <w:spacing w:after="0" w:line="271"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market value of shares of our common stock that may be issued to the recipients for the PSUs range from 0% to 200% of the target amount depending on actual results as compared to the target performance metric, and the amounts shown in the table represent the maximum payout, or 200% of the target amount.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2023 LTI Program Results</w:t>
            </w:r>
          </w:p>
        </w:tc>
        <w:tc>
          <w:tcPr>
            <w:tcW w:w="9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2023 - 2025 Actual </w:t>
            </w:r>
            <w:r>
              <w:rPr>
                <w:rFonts w:ascii="Times New Roman" w:cs="Times New Roman" w:eastAsia="Times New Roman" w:hAnsi="Times New Roman"/>
                <w:sz w:val="21"/>
                <w:szCs w:val="21"/>
                <w:b w:val="1"/>
                <w:bCs w:val="1"/>
                <w:color w:val="auto"/>
                <w:vertAlign w:val="superscript"/>
              </w:rPr>
              <w:t>(1)</w:t>
            </w:r>
          </w:p>
        </w:tc>
      </w:tr>
      <w:tr>
        <w:trPr>
          <w:trHeight w:val="20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2023-2025 Cumulative Basic EPS criteria</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rPr>
              <w:t>18.84</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35.13</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57.39</w:t>
            </w:r>
          </w:p>
        </w:tc>
        <w:tc>
          <w:tcPr>
            <w:tcW w:w="6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235"/>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PSU payout rate</w:t>
            </w:r>
          </w:p>
        </w:tc>
        <w:tc>
          <w:tcPr>
            <w:tcW w:w="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20"/>
                <w:szCs w:val="20"/>
                <w:color w:val="auto"/>
              </w:rPr>
            </w:pPr>
          </w:p>
        </w:tc>
        <w:tc>
          <w:tcPr>
            <w:tcW w:w="12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0"/>
                <w:szCs w:val="20"/>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bl>
    <w:p>
      <w:pPr>
        <w:spacing w:after="0" w:line="175" w:lineRule="exact"/>
        <w:rPr>
          <w:sz w:val="20"/>
          <w:szCs w:val="20"/>
          <w:color w:val="auto"/>
        </w:rPr>
      </w:pPr>
    </w:p>
    <w:p>
      <w:pPr>
        <w:ind w:firstLine="656"/>
        <w:spacing w:after="0" w:line="298" w:lineRule="auto"/>
        <w:tabs>
          <w:tab w:leader="none" w:pos="89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settlement of the 2023 PSUs, Messrs. Lipar, Snider, Merdian, and Garber received 16,956, 5,371, 4,911, and 1,842 shares, respectively, of our common stock on March 8,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Vested During 2025</w:t>
      </w:r>
    </w:p>
    <w:p>
      <w:pPr>
        <w:spacing w:after="0" w:line="121" w:lineRule="exact"/>
        <w:rPr>
          <w:sz w:val="20"/>
          <w:szCs w:val="20"/>
          <w:color w:val="auto"/>
        </w:rPr>
      </w:pPr>
    </w:p>
    <w:p>
      <w:pPr>
        <w:ind w:firstLine="20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vesting of equity awards during 2025 on an aggregated basis for each of our named executive officers.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RSU Awards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ind w:left="1800"/>
              <w:spacing w:after="0"/>
              <w:rPr>
                <w:sz w:val="20"/>
                <w:szCs w:val="20"/>
                <w:color w:val="auto"/>
              </w:rPr>
            </w:pPr>
            <w:r>
              <w:rPr>
                <w:rFonts w:ascii="Times New Roman" w:cs="Times New Roman" w:eastAsia="Times New Roman" w:hAnsi="Times New Roman"/>
                <w:sz w:val="16"/>
                <w:szCs w:val="16"/>
                <w:b w:val="1"/>
                <w:bCs w:val="1"/>
                <w:color w:val="auto"/>
              </w:rPr>
              <w:t>PSU Awards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8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800" w:type="dxa"/>
            <w:vAlign w:val="bottom"/>
            <w:gridSpan w:val="2"/>
          </w:tcPr>
          <w:p>
            <w:pPr>
              <w:spacing w:after="0"/>
              <w:rPr>
                <w:sz w:val="5"/>
                <w:szCs w:val="5"/>
                <w:color w:val="auto"/>
              </w:rPr>
            </w:pPr>
          </w:p>
        </w:tc>
        <w:tc>
          <w:tcPr>
            <w:tcW w:w="2280" w:type="dxa"/>
            <w:vAlign w:val="bottom"/>
            <w:gridSpan w:val="2"/>
          </w:tcPr>
          <w:p>
            <w:pPr>
              <w:spacing w:after="0"/>
              <w:rPr>
                <w:sz w:val="5"/>
                <w:szCs w:val="5"/>
                <w:color w:val="auto"/>
              </w:rPr>
            </w:pPr>
          </w:p>
        </w:tc>
        <w:tc>
          <w:tcPr>
            <w:tcW w:w="4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vMerge w:val="restart"/>
          </w:tcPr>
          <w:p>
            <w:pPr>
              <w:spacing w:after="0"/>
              <w:rPr>
                <w:sz w:val="15"/>
                <w:szCs w:val="15"/>
                <w:color w:val="auto"/>
              </w:rPr>
            </w:pPr>
          </w:p>
        </w:tc>
        <w:tc>
          <w:tcPr>
            <w:tcW w:w="2280" w:type="dxa"/>
            <w:vAlign w:val="bottom"/>
            <w:tcBorders>
              <w:top w:val="single" w:sz="8" w:color="auto"/>
            </w:tcBorders>
            <w:gridSpan w:val="2"/>
          </w:tcPr>
          <w:p>
            <w:pPr>
              <w:ind w:left="120"/>
              <w:spacing w:after="0" w:line="183"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4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479"/>
              <w:spacing w:after="0" w:line="183" w:lineRule="exact"/>
              <w:rPr>
                <w:sz w:val="20"/>
                <w:szCs w:val="20"/>
                <w:color w:val="auto"/>
              </w:rPr>
            </w:pPr>
            <w:r>
              <w:rPr>
                <w:rFonts w:ascii="Times New Roman" w:cs="Times New Roman" w:eastAsia="Times New Roman" w:hAnsi="Times New Roman"/>
                <w:sz w:val="16"/>
                <w:szCs w:val="16"/>
                <w:b w:val="1"/>
                <w:bCs w:val="1"/>
                <w:color w:val="auto"/>
              </w:rPr>
              <w:t>Value Realized</w:t>
            </w:r>
          </w:p>
        </w:tc>
        <w:tc>
          <w:tcPr>
            <w:tcW w:w="120" w:type="dxa"/>
            <w:vAlign w:val="bottom"/>
          </w:tcPr>
          <w:p>
            <w:pPr>
              <w:spacing w:after="0"/>
              <w:rPr>
                <w:sz w:val="15"/>
                <w:szCs w:val="15"/>
                <w:color w:val="auto"/>
              </w:rPr>
            </w:pPr>
          </w:p>
        </w:tc>
        <w:tc>
          <w:tcPr>
            <w:tcW w:w="2280" w:type="dxa"/>
            <w:vAlign w:val="bottom"/>
            <w:tcBorders>
              <w:top w:val="single" w:sz="8" w:color="auto"/>
            </w:tcBorders>
            <w:gridSpan w:val="2"/>
          </w:tcPr>
          <w:p>
            <w:pPr>
              <w:ind w:left="120"/>
              <w:spacing w:after="0" w:line="183" w:lineRule="exact"/>
              <w:rPr>
                <w:sz w:val="20"/>
                <w:szCs w:val="20"/>
                <w:color w:val="auto"/>
              </w:rPr>
            </w:pPr>
            <w:r>
              <w:rPr>
                <w:rFonts w:ascii="Times New Roman" w:cs="Times New Roman" w:eastAsia="Times New Roman" w:hAnsi="Times New Roman"/>
                <w:sz w:val="16"/>
                <w:szCs w:val="16"/>
                <w:b w:val="1"/>
                <w:bCs w:val="1"/>
                <w:color w:val="auto"/>
              </w:rPr>
              <w:t>Number of Shares Acquired</w:t>
            </w:r>
          </w:p>
        </w:tc>
        <w:tc>
          <w:tcPr>
            <w:tcW w:w="4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499"/>
              <w:spacing w:after="0" w:line="183" w:lineRule="exact"/>
              <w:rPr>
                <w:sz w:val="20"/>
                <w:szCs w:val="20"/>
                <w:color w:val="auto"/>
              </w:rPr>
            </w:pPr>
            <w:r>
              <w:rPr>
                <w:rFonts w:ascii="Times New Roman" w:cs="Times New Roman" w:eastAsia="Times New Roman" w:hAnsi="Times New Roman"/>
                <w:sz w:val="16"/>
                <w:szCs w:val="16"/>
                <w:b w:val="1"/>
                <w:bCs w:val="1"/>
                <w:color w:val="auto"/>
              </w:rPr>
              <w:t>Value Realized</w:t>
            </w:r>
          </w:p>
        </w:tc>
        <w:tc>
          <w:tcPr>
            <w:tcW w:w="0" w:type="dxa"/>
            <w:vAlign w:val="bottom"/>
          </w:tcPr>
          <w:p>
            <w:pPr>
              <w:spacing w:after="0"/>
              <w:rPr>
                <w:sz w:val="1"/>
                <w:szCs w:val="1"/>
                <w:color w:val="auto"/>
              </w:rPr>
            </w:pPr>
          </w:p>
        </w:tc>
      </w:tr>
      <w:tr>
        <w:trPr>
          <w:trHeight w:val="257"/>
        </w:trPr>
        <w:tc>
          <w:tcPr>
            <w:tcW w:w="210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1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on Vesting</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 xml:space="preserve">on Vesting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2"/>
                <w:szCs w:val="22"/>
                <w:color w:val="auto"/>
              </w:rPr>
            </w:pPr>
          </w:p>
        </w:tc>
        <w:tc>
          <w:tcPr>
            <w:tcW w:w="2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on Vesting</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 xml:space="preserve">on Vesting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2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Eric Lipar</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6,977</w:t>
            </w:r>
          </w:p>
        </w:tc>
        <w:tc>
          <w:tcPr>
            <w:tcW w:w="12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523,903</w:t>
            </w:r>
          </w:p>
        </w:tc>
        <w:tc>
          <w:tcPr>
            <w:tcW w:w="120" w:type="dxa"/>
            <w:vAlign w:val="bottom"/>
          </w:tcPr>
          <w:p>
            <w:pPr>
              <w:spacing w:after="0"/>
              <w:rPr>
                <w:sz w:val="21"/>
                <w:szCs w:val="21"/>
                <w:color w:val="auto"/>
              </w:rPr>
            </w:pP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7"/>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Michael Snider</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tcPr>
          <w:p>
            <w:pPr>
              <w:spacing w:after="0"/>
              <w:rPr>
                <w:sz w:val="22"/>
                <w:szCs w:val="22"/>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165,949</w:t>
            </w:r>
          </w:p>
        </w:tc>
        <w:tc>
          <w:tcPr>
            <w:tcW w:w="120" w:type="dxa"/>
            <w:vAlign w:val="bottom"/>
          </w:tcPr>
          <w:p>
            <w:pPr>
              <w:spacing w:after="0"/>
              <w:rPr>
                <w:sz w:val="22"/>
                <w:szCs w:val="22"/>
                <w:color w:val="auto"/>
              </w:rPr>
            </w:pP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56"/>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Charles Merdian</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2"/>
                <w:szCs w:val="22"/>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151,757</w:t>
            </w:r>
          </w:p>
        </w:tc>
        <w:tc>
          <w:tcPr>
            <w:tcW w:w="120" w:type="dxa"/>
            <w:vAlign w:val="bottom"/>
          </w:tcPr>
          <w:p>
            <w:pPr>
              <w:spacing w:after="0"/>
              <w:rPr>
                <w:sz w:val="22"/>
                <w:szCs w:val="22"/>
                <w:color w:val="auto"/>
              </w:rPr>
            </w:pP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Scott Garber</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56,918</w:t>
            </w:r>
          </w:p>
        </w:tc>
        <w:tc>
          <w:tcPr>
            <w:tcW w:w="120" w:type="dxa"/>
            <w:vAlign w:val="bottom"/>
          </w:tcPr>
          <w:p>
            <w:pPr>
              <w:spacing w:after="0"/>
              <w:rPr>
                <w:sz w:val="18"/>
                <w:szCs w:val="18"/>
                <w:color w:val="auto"/>
              </w:rPr>
            </w:pPr>
          </w:p>
        </w:tc>
        <w:tc>
          <w:tcPr>
            <w:tcW w:w="228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500" w:hanging="330"/>
        <w:spacing w:after="0" w:line="298"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number of awards vested at March 8, 2025 valued at $75.09, the closing stock price on March 7, 2025 (the last trading day prior to the date of grant).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center"/>
              <w:ind w:right="188"/>
              <w:spacing w:after="0"/>
              <w:rPr>
                <w:sz w:val="20"/>
                <w:szCs w:val="20"/>
                <w:color w:val="auto"/>
              </w:rPr>
            </w:pPr>
            <w:r>
              <w:rPr>
                <w:rFonts w:ascii="Times New Roman" w:cs="Times New Roman" w:eastAsia="Times New Roman" w:hAnsi="Times New Roman"/>
                <w:sz w:val="16"/>
                <w:szCs w:val="16"/>
                <w:b w:val="1"/>
                <w:bCs w:val="1"/>
                <w:color w:val="auto"/>
              </w:rPr>
              <w:t>Value of Initial Fixed $100</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Investment Based On:</w:t>
            </w:r>
          </w:p>
        </w:tc>
        <w:tc>
          <w:tcPr>
            <w:tcW w:w="4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40" w:type="dxa"/>
            <w:vAlign w:val="bottom"/>
          </w:tcPr>
          <w:p>
            <w:pPr>
              <w:spacing w:after="0"/>
              <w:rPr>
                <w:sz w:val="12"/>
                <w:szCs w:val="12"/>
                <w:color w:val="auto"/>
              </w:rPr>
            </w:pPr>
          </w:p>
        </w:tc>
        <w:tc>
          <w:tcPr>
            <w:tcW w:w="13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6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Average Summary</w:t>
            </w:r>
          </w:p>
        </w:tc>
        <w:tc>
          <w:tcPr>
            <w:tcW w:w="120" w:type="dxa"/>
            <w:vAlign w:val="bottom"/>
          </w:tcPr>
          <w:p>
            <w:pPr>
              <w:spacing w:after="0"/>
              <w:rPr>
                <w:sz w:val="12"/>
                <w:szCs w:val="12"/>
                <w:color w:val="auto"/>
              </w:rPr>
            </w:pPr>
          </w:p>
        </w:tc>
        <w:tc>
          <w:tcPr>
            <w:tcW w:w="1320" w:type="dxa"/>
            <w:vAlign w:val="bottom"/>
          </w:tcPr>
          <w:p>
            <w:pPr>
              <w:jc w:val="center"/>
              <w:ind w:right="59"/>
              <w:spacing w:after="0" w:line="14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Peer Group Total</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w w:val="97"/>
              </w:rPr>
              <w:t>Pre-Tax Net</w:t>
            </w:r>
          </w:p>
        </w:tc>
        <w:tc>
          <w:tcPr>
            <w:tcW w:w="0" w:type="dxa"/>
            <w:vAlign w:val="bottom"/>
          </w:tcPr>
          <w:p>
            <w:pPr>
              <w:spacing w:after="0"/>
              <w:rPr>
                <w:sz w:val="1"/>
                <w:szCs w:val="1"/>
                <w:color w:val="auto"/>
              </w:rPr>
            </w:pPr>
          </w:p>
        </w:tc>
      </w:tr>
      <w:tr>
        <w:trPr>
          <w:trHeight w:val="162"/>
        </w:trPr>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120" w:type="dxa"/>
            <w:vAlign w:val="bottom"/>
          </w:tcPr>
          <w:p>
            <w:pPr>
              <w:spacing w:after="0"/>
              <w:rPr>
                <w:sz w:val="14"/>
                <w:szCs w:val="14"/>
                <w:color w:val="auto"/>
              </w:rPr>
            </w:pPr>
          </w:p>
        </w:tc>
        <w:tc>
          <w:tcPr>
            <w:tcW w:w="132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3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93"/>
              </w:rPr>
              <w:t>(4)</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150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 Table</w:t>
            </w:r>
          </w:p>
        </w:tc>
        <w:tc>
          <w:tcPr>
            <w:tcW w:w="140" w:type="dxa"/>
            <w:vAlign w:val="bottom"/>
          </w:tcPr>
          <w:p>
            <w:pPr>
              <w:spacing w:after="0"/>
              <w:rPr>
                <w:sz w:val="9"/>
                <w:szCs w:val="9"/>
                <w:color w:val="auto"/>
              </w:rPr>
            </w:pPr>
          </w:p>
        </w:tc>
        <w:tc>
          <w:tcPr>
            <w:tcW w:w="1340" w:type="dxa"/>
            <w:vAlign w:val="bottom"/>
            <w:gridSpan w:val="2"/>
          </w:tcPr>
          <w:p>
            <w:pPr>
              <w:jc w:val="right"/>
              <w:ind w:right="148"/>
              <w:spacing w:after="0" w:line="108" w:lineRule="exact"/>
              <w:rPr>
                <w:sz w:val="20"/>
                <w:szCs w:val="20"/>
                <w:color w:val="auto"/>
              </w:rPr>
            </w:pPr>
            <w:r>
              <w:rPr>
                <w:rFonts w:ascii="Times New Roman" w:cs="Times New Roman" w:eastAsia="Times New Roman" w:hAnsi="Times New Roman"/>
                <w:sz w:val="12"/>
                <w:szCs w:val="12"/>
                <w:b w:val="1"/>
                <w:bCs w:val="1"/>
                <w:color w:val="auto"/>
              </w:rPr>
              <w:t>Actually Paid to</w:t>
            </w:r>
          </w:p>
        </w:tc>
        <w:tc>
          <w:tcPr>
            <w:tcW w:w="146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Total for Non-CEO</w:t>
            </w:r>
          </w:p>
        </w:tc>
        <w:tc>
          <w:tcPr>
            <w:tcW w:w="120" w:type="dxa"/>
            <w:vAlign w:val="bottom"/>
          </w:tcPr>
          <w:p>
            <w:pPr>
              <w:spacing w:after="0"/>
              <w:rPr>
                <w:sz w:val="9"/>
                <w:szCs w:val="9"/>
                <w:color w:val="auto"/>
              </w:rPr>
            </w:pPr>
          </w:p>
        </w:tc>
        <w:tc>
          <w:tcPr>
            <w:tcW w:w="13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Actually Paid to</w:t>
            </w:r>
          </w:p>
        </w:tc>
        <w:tc>
          <w:tcPr>
            <w:tcW w:w="240" w:type="dxa"/>
            <w:vAlign w:val="bottom"/>
          </w:tcPr>
          <w:p>
            <w:pPr>
              <w:spacing w:after="0"/>
              <w:rPr>
                <w:sz w:val="9"/>
                <w:szCs w:val="9"/>
                <w:color w:val="auto"/>
              </w:rPr>
            </w:pPr>
          </w:p>
        </w:tc>
        <w:tc>
          <w:tcPr>
            <w:tcW w:w="1060" w:type="dxa"/>
            <w:vAlign w:val="bottom"/>
            <w:vMerge w:val="restart"/>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Return</w:t>
            </w:r>
          </w:p>
        </w:tc>
        <w:tc>
          <w:tcPr>
            <w:tcW w:w="140" w:type="dxa"/>
            <w:vAlign w:val="bottom"/>
          </w:tcPr>
          <w:p>
            <w:pPr>
              <w:spacing w:after="0"/>
              <w:rPr>
                <w:sz w:val="9"/>
                <w:szCs w:val="9"/>
                <w:color w:val="auto"/>
              </w:rPr>
            </w:pPr>
          </w:p>
        </w:tc>
        <w:tc>
          <w:tcPr>
            <w:tcW w:w="1120" w:type="dxa"/>
            <w:vAlign w:val="bottom"/>
            <w:gridSpan w:val="2"/>
          </w:tcPr>
          <w:p>
            <w:pPr>
              <w:jc w:val="right"/>
              <w:ind w:right="168"/>
              <w:spacing w:after="0" w:line="108" w:lineRule="exact"/>
              <w:rPr>
                <w:sz w:val="20"/>
                <w:szCs w:val="20"/>
                <w:color w:val="auto"/>
              </w:rPr>
            </w:pPr>
            <w:r>
              <w:rPr>
                <w:rFonts w:ascii="Times New Roman" w:cs="Times New Roman" w:eastAsia="Times New Roman" w:hAnsi="Times New Roman"/>
                <w:sz w:val="12"/>
                <w:szCs w:val="12"/>
                <w:b w:val="1"/>
                <w:bCs w:val="1"/>
                <w:color w:val="auto"/>
              </w:rPr>
              <w:t>Shareholder</w:t>
            </w: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460" w:type="dxa"/>
            <w:vAlign w:val="bottom"/>
          </w:tcPr>
          <w:p>
            <w:pPr>
              <w:jc w:val="right"/>
              <w:ind w:right="87"/>
              <w:spacing w:after="0" w:line="108" w:lineRule="exact"/>
              <w:rPr>
                <w:sz w:val="20"/>
                <w:szCs w:val="20"/>
                <w:color w:val="auto"/>
              </w:rPr>
            </w:pPr>
            <w:r>
              <w:rPr>
                <w:rFonts w:ascii="Times New Roman" w:cs="Times New Roman" w:eastAsia="Times New Roman" w:hAnsi="Times New Roman"/>
                <w:sz w:val="11"/>
                <w:szCs w:val="11"/>
                <w:b w:val="1"/>
                <w:bCs w:val="1"/>
                <w:color w:val="auto"/>
              </w:rPr>
              <w:t>(4)((5)</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 for CEO</w:t>
            </w:r>
          </w:p>
        </w:tc>
        <w:tc>
          <w:tcPr>
            <w:tcW w:w="14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w w:val="97"/>
              </w:rPr>
              <w:t>CEO</w:t>
            </w:r>
          </w:p>
        </w:tc>
        <w:tc>
          <w:tcPr>
            <w:tcW w:w="640" w:type="dxa"/>
            <w:vAlign w:val="bottom"/>
          </w:tcPr>
          <w:p>
            <w:pPr>
              <w:jc w:val="right"/>
              <w:ind w:right="448"/>
              <w:spacing w:after="0" w:line="54" w:lineRule="exact"/>
              <w:rPr>
                <w:sz w:val="20"/>
                <w:szCs w:val="20"/>
                <w:color w:val="auto"/>
              </w:rPr>
            </w:pPr>
            <w:r>
              <w:rPr>
                <w:rFonts w:ascii="Times New Roman" w:cs="Times New Roman" w:eastAsia="Times New Roman" w:hAnsi="Times New Roman"/>
                <w:sz w:val="6"/>
                <w:szCs w:val="6"/>
                <w:b w:val="1"/>
                <w:bCs w:val="1"/>
                <w:color w:val="auto"/>
              </w:rPr>
              <w:t>(1)</w:t>
            </w:r>
          </w:p>
        </w:tc>
        <w:tc>
          <w:tcPr>
            <w:tcW w:w="14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Return</w:t>
            </w:r>
          </w:p>
        </w:tc>
        <w:tc>
          <w:tcPr>
            <w:tcW w:w="440" w:type="dxa"/>
            <w:vAlign w:val="bottom"/>
          </w:tcPr>
          <w:p>
            <w:pPr>
              <w:jc w:val="right"/>
              <w:ind w:right="288"/>
              <w:spacing w:after="0" w:line="54" w:lineRule="exact"/>
              <w:rPr>
                <w:sz w:val="20"/>
                <w:szCs w:val="20"/>
                <w:color w:val="auto"/>
              </w:rPr>
            </w:pPr>
            <w:r>
              <w:rPr>
                <w:rFonts w:ascii="Times New Roman" w:cs="Times New Roman" w:eastAsia="Times New Roman" w:hAnsi="Times New Roman"/>
                <w:sz w:val="6"/>
                <w:szCs w:val="6"/>
                <w:b w:val="1"/>
                <w:bCs w:val="1"/>
                <w:color w:val="auto"/>
              </w:rPr>
              <w:t>(3)</w:t>
            </w: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NEOs</w:t>
            </w:r>
          </w:p>
        </w:tc>
        <w:tc>
          <w:tcPr>
            <w:tcW w:w="144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Non-CEO NEOs </w:t>
            </w:r>
            <w:r>
              <w:rPr>
                <w:rFonts w:ascii="Times New Roman" w:cs="Times New Roman" w:eastAsia="Times New Roman" w:hAnsi="Times New Roman"/>
                <w:sz w:val="21"/>
                <w:szCs w:val="21"/>
                <w:b w:val="1"/>
                <w:bCs w:val="1"/>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(3,291,079)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1,784,652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(215,120)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40.59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shd w:val="clear" w:color="auto" w:fill="CCEEFF"/>
              </w:rPr>
              <w:t>179.02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98,486</w:t>
            </w:r>
          </w:p>
        </w:tc>
        <w:tc>
          <w:tcPr>
            <w:tcW w:w="0" w:type="dxa"/>
            <w:vAlign w:val="bottom"/>
          </w:tcPr>
          <w:p>
            <w:pPr>
              <w:spacing w:after="0"/>
              <w:rPr>
                <w:sz w:val="1"/>
                <w:szCs w:val="1"/>
                <w:color w:val="auto"/>
              </w:rPr>
            </w:pPr>
          </w:p>
        </w:tc>
      </w:tr>
      <w:tr>
        <w:trPr>
          <w:trHeight w:val="213"/>
        </w:trPr>
        <w:tc>
          <w:tcPr>
            <w:tcW w:w="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6,165,906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1,980,573</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2,446,167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1,015,343</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228.94</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196,071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color w:val="auto"/>
              </w:rPr>
              <w:t>258,913</w:t>
            </w:r>
          </w:p>
        </w:tc>
        <w:tc>
          <w:tcPr>
            <w:tcW w:w="0" w:type="dxa"/>
            <w:vAlign w:val="bottom"/>
          </w:tcPr>
          <w:p>
            <w:pPr>
              <w:spacing w:after="0"/>
              <w:rPr>
                <w:sz w:val="1"/>
                <w:szCs w:val="1"/>
                <w:color w:val="auto"/>
              </w:rPr>
            </w:pPr>
          </w:p>
        </w:tc>
      </w:tr>
      <w:tr>
        <w:trPr>
          <w:trHeight w:val="219"/>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6,593,282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8,523,949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2,126,389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2,638,276</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209.43</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261,754</w:t>
            </w:r>
          </w:p>
        </w:tc>
        <w:tc>
          <w:tcPr>
            <w:tcW w:w="0" w:type="dxa"/>
            <w:vAlign w:val="bottom"/>
          </w:tcPr>
          <w:p>
            <w:pPr>
              <w:spacing w:after="0"/>
              <w:rPr>
                <w:sz w:val="1"/>
                <w:szCs w:val="1"/>
                <w:color w:val="auto"/>
              </w:rPr>
            </w:pPr>
          </w:p>
        </w:tc>
      </w:tr>
      <w:tr>
        <w:trPr>
          <w:trHeight w:val="213"/>
        </w:trPr>
        <w:tc>
          <w:tcPr>
            <w:tcW w:w="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5,763,029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(7,836,526)</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1,799,708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(1,915,761)</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132.08</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326,567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color w:val="auto"/>
              </w:rPr>
              <w:t>418,117</w:t>
            </w:r>
          </w:p>
        </w:tc>
        <w:tc>
          <w:tcPr>
            <w:tcW w:w="0" w:type="dxa"/>
            <w:vAlign w:val="bottom"/>
          </w:tcPr>
          <w:p>
            <w:pPr>
              <w:spacing w:after="0"/>
              <w:rPr>
                <w:sz w:val="1"/>
                <w:szCs w:val="1"/>
                <w:color w:val="auto"/>
              </w:rPr>
            </w:pPr>
          </w:p>
        </w:tc>
      </w:tr>
      <w:tr>
        <w:trPr>
          <w:trHeight w:val="219"/>
        </w:trPr>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6,526,801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18,772,107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1,893,186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4,856,739</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187.73</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542,775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0" w:hanging="330"/>
        <w:spacing w:after="0" w:line="263" w:lineRule="auto"/>
        <w:tabs>
          <w:tab w:leader="none" w:pos="25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Lipar was the CEO and Principal Executive Officer for 2025, 2024, 2023, 2022, and 2021. The summary compensation totals for Mr. Lipar are adjusted, as indicated in the table below, to arrive at the compensation actually paid to the CEO each year. The change in value to the RSUs is due to the decrease in stock price from the date the RSUs were granted to the date the RSUs vested or will vest. The value change to the PSUs is due to the decrease in stock price from the date the PSUs were granted to the date the PSUs vested or will vest and the decrease of the payout percentage of the PSUs.</w:t>
      </w: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148"/>
        </w:trPr>
        <w:tc>
          <w:tcPr>
            <w:tcW w:w="3760" w:type="dxa"/>
            <w:vAlign w:val="bottom"/>
            <w:tcBorders>
              <w:top w:val="single" w:sz="8" w:color="auto"/>
              <w:left w:val="single" w:sz="8" w:color="auto"/>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Adjustments to Determine Compensation Actually Paid for</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4"/>
                <w:szCs w:val="14"/>
                <w:color w:val="auto"/>
              </w:rPr>
              <w:t>CEO</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60" w:type="dxa"/>
            <w:vAlign w:val="bottom"/>
            <w:tcBorders>
              <w:left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Deduction for change in actuarial present value of accumulated</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benefit under all defined benefit and actuarial pension plans</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reported in the Summary Compensation Table</w:t>
            </w:r>
          </w:p>
        </w:tc>
        <w:tc>
          <w:tcPr>
            <w:tcW w:w="3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Increase for aggregate of service cost and prior service cost for</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all defined benefit and actuarial pension plans reported in the</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Summary Compensation Table</w:t>
            </w:r>
          </w:p>
        </w:tc>
        <w:tc>
          <w:tcPr>
            <w:tcW w:w="3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Deduction for amounts reported under the “Stock Awards”</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(4,143,842)</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(4,143,907)</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(4,143,927)</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(4,143,982)</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(3,230,169)</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column in the Summary Compensation Table</w:t>
            </w: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Deduction for amounts reported under the “Option Awards”</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column in the Summary Compensation Table</w:t>
            </w:r>
          </w:p>
        </w:tc>
        <w:tc>
          <w:tcPr>
            <w:tcW w:w="3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for fair value of awards granted during year that remain</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474,150</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3,309,499</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5,376,347</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1,938,071</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6,370,137</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unvested as of year-end</w:t>
            </w: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for fair value of awards granted during year that vest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year</w:t>
            </w:r>
          </w:p>
        </w:tc>
        <w:tc>
          <w:tcPr>
            <w:tcW w:w="3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Increase/deduction for change in fair value from prior year-end</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to current year-end of awards granted prior to year that were</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(4,703,597)</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(2,890,013)</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(185,100)</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(9,048,719)</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7,206,430</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outstanding and unvested as of year-end</w:t>
            </w: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Increase/deduction for change in fair value from prior year-end</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to vesting date of awards granted prior to year that vested</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(99,841)</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(460,912)</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883,347</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(2,344,925)</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1,898,908</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during year</w:t>
            </w: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60" w:type="dxa"/>
            <w:vAlign w:val="bottom"/>
            <w:tcBorders>
              <w:left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Deduction of fair value of awards granted prior to year that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were forfeited during year</w:t>
            </w:r>
          </w:p>
        </w:tc>
        <w:tc>
          <w:tcPr>
            <w:tcW w:w="3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based on dividends or other earnings paid during year</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prior to vesting date of award</w:t>
            </w: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Adjustments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(8,473,130)</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(4,185,333)</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1,930,667</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(13,599,555)</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12,245,306</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30" w:hanging="330"/>
        <w:spacing w:after="0" w:line="260" w:lineRule="auto"/>
        <w:tabs>
          <w:tab w:leader="none" w:pos="2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individuals that were Non-CEO NEOs during each applicable year are Michael Snider, Charles Merdian, and Scott Garber for 2025; Michael Snider, Charles Merdian, and Scott Garber for 2024; Michael Snider, Charles Merdian, and Scott Garber for 2023; Michael Snider, Charles Merdian, and Scott Garber for 2022; and Michael Snider, Charles Merdian, Jack Lipar, and Rachel Eaton for 2021. The average summary compensation table totals for Non-CEO NEOs are adjusted, as indicated in the table below, to arrive at the average compensation actually paid to the Non-CEO NEOs each year using the same methodology as described for the CEO. The change in value to the RSUs is due to the decrease in stock price from the date the RSUs were granted to the date the RSUs vested or will vest. The value change to the PSUs is due to the decrease in stock price from the date the PSUs were granted to the date the PSUs vested 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220980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440" w:right="339" w:bottom="1440" w:gutter="0" w:footer="0" w:header="0"/>
        </w:sectPr>
      </w:pPr>
    </w:p>
    <w:bookmarkStart w:id="53" w:name="page54"/>
    <w:bookmarkEnd w:id="53"/>
    <w:p>
      <w:pPr>
        <w:spacing w:after="0" w:line="200" w:lineRule="exact"/>
        <w:rPr>
          <w:sz w:val="20"/>
          <w:szCs w:val="20"/>
          <w:color w:val="auto"/>
        </w:rPr>
      </w:pPr>
    </w:p>
    <w:p>
      <w:pPr>
        <w:spacing w:after="0" w:line="201" w:lineRule="exact"/>
        <w:rPr>
          <w:sz w:val="20"/>
          <w:szCs w:val="20"/>
          <w:color w:val="auto"/>
        </w:rPr>
      </w:pPr>
    </w:p>
    <w:tbl>
      <w:tblPr>
        <w:tblLayout w:type="fixed"/>
        <w:tblInd w:w="510" w:type="dxa"/>
        <w:tblCellMar>
          <w:top w:w="0" w:type="dxa"/>
          <w:left w:w="0" w:type="dxa"/>
          <w:bottom w:w="0" w:type="dxa"/>
          <w:right w:w="0" w:type="dxa"/>
        </w:tblCellMar>
      </w:tblPr>
      <w:tr>
        <w:trPr>
          <w:trHeight w:val="210"/>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will</w:t>
            </w:r>
          </w:p>
        </w:tc>
        <w:tc>
          <w:tcPr>
            <w:tcW w:w="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w:t>
            </w:r>
          </w:p>
        </w:tc>
        <w:tc>
          <w:tcPr>
            <w:tcW w:w="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w:t>
            </w: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w:t>
            </w:r>
          </w:p>
        </w:tc>
        <w:tc>
          <w:tcPr>
            <w:tcW w:w="52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w w:val="96"/>
              </w:rPr>
              <w:t>payout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percentage</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52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the</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PSUs.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gridSpan w:val="7"/>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tcBorders>
              <w:left w:val="single" w:sz="8" w:color="auto"/>
            </w:tcBorders>
            <w:gridSpan w:val="7"/>
          </w:tcPr>
          <w:p>
            <w:pPr>
              <w:jc w:val="center"/>
              <w:ind w:left="48"/>
              <w:spacing w:after="0" w:line="129" w:lineRule="exact"/>
              <w:rPr>
                <w:sz w:val="20"/>
                <w:szCs w:val="20"/>
                <w:color w:val="auto"/>
              </w:rPr>
            </w:pPr>
            <w:r>
              <w:rPr>
                <w:rFonts w:ascii="Times New Roman" w:cs="Times New Roman" w:eastAsia="Times New Roman" w:hAnsi="Times New Roman"/>
                <w:sz w:val="14"/>
                <w:szCs w:val="14"/>
                <w:color w:val="auto"/>
              </w:rPr>
              <w:t>Adjustments to Determine Average Compensation Actually</w:t>
            </w:r>
          </w:p>
        </w:tc>
        <w:tc>
          <w:tcPr>
            <w:tcW w:w="520" w:type="dxa"/>
            <w:vAlign w:val="bottom"/>
          </w:tcPr>
          <w:p>
            <w:pPr>
              <w:spacing w:after="0"/>
              <w:rPr>
                <w:sz w:val="11"/>
                <w:szCs w:val="11"/>
                <w:color w:val="auto"/>
              </w:rPr>
            </w:pPr>
          </w:p>
        </w:tc>
        <w:tc>
          <w:tcPr>
            <w:tcW w:w="900" w:type="dxa"/>
            <w:vAlign w:val="bottom"/>
            <w:vMerge w:val="restart"/>
          </w:tcPr>
          <w:p>
            <w:pPr>
              <w:jc w:val="right"/>
              <w:ind w:right="447"/>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1"/>
                <w:szCs w:val="11"/>
                <w:color w:val="auto"/>
              </w:rPr>
            </w:pPr>
          </w:p>
        </w:tc>
        <w:tc>
          <w:tcPr>
            <w:tcW w:w="520" w:type="dxa"/>
            <w:vAlign w:val="bottom"/>
            <w:vMerge w:val="restart"/>
          </w:tcPr>
          <w:p>
            <w:pPr>
              <w:jc w:val="right"/>
              <w:ind w:right="107"/>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tcPr>
          <w:p>
            <w:pPr>
              <w:spacing w:after="0"/>
              <w:rPr>
                <w:sz w:val="11"/>
                <w:szCs w:val="11"/>
                <w:color w:val="auto"/>
              </w:rPr>
            </w:pPr>
          </w:p>
        </w:tc>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1"/>
                <w:szCs w:val="11"/>
                <w:color w:val="auto"/>
              </w:rPr>
            </w:pPr>
          </w:p>
        </w:tc>
        <w:tc>
          <w:tcPr>
            <w:tcW w:w="1040" w:type="dxa"/>
            <w:vAlign w:val="bottom"/>
            <w:tcBorders>
              <w:right w:val="single" w:sz="8" w:color="auto"/>
            </w:tcBorders>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6"/>
        </w:trPr>
        <w:tc>
          <w:tcPr>
            <w:tcW w:w="380" w:type="dxa"/>
            <w:vAlign w:val="bottom"/>
            <w:tcBorders>
              <w:left w:val="single" w:sz="8" w:color="auto"/>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64"/>
              <w:spacing w:after="0"/>
              <w:rPr>
                <w:sz w:val="20"/>
                <w:szCs w:val="20"/>
                <w:color w:val="auto"/>
              </w:rPr>
            </w:pPr>
            <w:r>
              <w:rPr>
                <w:rFonts w:ascii="Times New Roman" w:cs="Times New Roman" w:eastAsia="Times New Roman" w:hAnsi="Times New Roman"/>
                <w:sz w:val="14"/>
                <w:szCs w:val="14"/>
                <w:color w:val="auto"/>
              </w:rPr>
              <w:t>Paid for Non-CEO NEOs</w:t>
            </w: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160" w:type="dxa"/>
            <w:vAlign w:val="bottom"/>
            <w:tcBorders>
              <w:left w:val="single" w:sz="8" w:color="auto"/>
            </w:tcBorders>
            <w:gridSpan w:val="8"/>
          </w:tcPr>
          <w:p>
            <w:pPr>
              <w:ind w:left="20"/>
              <w:spacing w:after="0" w:line="135" w:lineRule="exact"/>
              <w:rPr>
                <w:sz w:val="20"/>
                <w:szCs w:val="20"/>
                <w:color w:val="auto"/>
              </w:rPr>
            </w:pPr>
            <w:r>
              <w:rPr>
                <w:rFonts w:ascii="Times New Roman" w:cs="Times New Roman" w:eastAsia="Times New Roman" w:hAnsi="Times New Roman"/>
                <w:sz w:val="14"/>
                <w:szCs w:val="14"/>
                <w:color w:val="auto"/>
              </w:rPr>
              <w:t>Deduction for change in actuarial present value of accumulated</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40" w:type="dxa"/>
            <w:vAlign w:val="bottom"/>
            <w:tcBorders>
              <w:left w:val="single" w:sz="8" w:color="auto"/>
            </w:tcBorders>
            <w:gridSpan w:val="7"/>
          </w:tcPr>
          <w:p>
            <w:pPr>
              <w:ind w:left="20"/>
              <w:spacing w:after="0" w:line="139" w:lineRule="exact"/>
              <w:rPr>
                <w:sz w:val="20"/>
                <w:szCs w:val="20"/>
                <w:color w:val="auto"/>
              </w:rPr>
            </w:pPr>
            <w:r>
              <w:rPr>
                <w:rFonts w:ascii="Times New Roman" w:cs="Times New Roman" w:eastAsia="Times New Roman" w:hAnsi="Times New Roman"/>
                <w:sz w:val="14"/>
                <w:szCs w:val="14"/>
                <w:color w:val="auto"/>
              </w:rPr>
              <w:t>benefit under all defined benefit and actuarial pension plans</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reported in the Summary Compensation Table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60" w:type="dxa"/>
            <w:vAlign w:val="bottom"/>
            <w:tcBorders>
              <w:left w:val="single" w:sz="8" w:color="auto"/>
            </w:tcBorders>
            <w:gridSpan w:val="8"/>
          </w:tcPr>
          <w:p>
            <w:pPr>
              <w:ind w:left="20"/>
              <w:spacing w:after="0" w:line="159" w:lineRule="exact"/>
              <w:rPr>
                <w:sz w:val="20"/>
                <w:szCs w:val="20"/>
                <w:color w:val="auto"/>
              </w:rPr>
            </w:pPr>
            <w:r>
              <w:rPr>
                <w:rFonts w:ascii="Times New Roman" w:cs="Times New Roman" w:eastAsia="Times New Roman" w:hAnsi="Times New Roman"/>
                <w:sz w:val="14"/>
                <w:szCs w:val="14"/>
                <w:color w:val="auto"/>
              </w:rPr>
              <w:t>Increase for aggregate of service cost and prior service cost for</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40" w:type="dxa"/>
            <w:vAlign w:val="bottom"/>
            <w:tcBorders>
              <w:left w:val="single" w:sz="8" w:color="auto"/>
            </w:tcBorders>
            <w:gridSpan w:val="7"/>
          </w:tcPr>
          <w:p>
            <w:pPr>
              <w:ind w:left="20"/>
              <w:spacing w:after="0" w:line="139" w:lineRule="exact"/>
              <w:rPr>
                <w:sz w:val="20"/>
                <w:szCs w:val="20"/>
                <w:color w:val="auto"/>
              </w:rPr>
            </w:pPr>
            <w:r>
              <w:rPr>
                <w:rFonts w:ascii="Times New Roman" w:cs="Times New Roman" w:eastAsia="Times New Roman" w:hAnsi="Times New Roman"/>
                <w:sz w:val="14"/>
                <w:szCs w:val="14"/>
                <w:color w:val="auto"/>
              </w:rPr>
              <w:t>all defined benefit and actuarial pension plans reported in the</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Summary Compensation Table</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40" w:type="dxa"/>
            <w:vAlign w:val="bottom"/>
            <w:tcBorders>
              <w:left w:val="single" w:sz="8" w:color="auto"/>
            </w:tcBorders>
            <w:gridSpan w:val="7"/>
          </w:tcPr>
          <w:p>
            <w:pPr>
              <w:ind w:left="20"/>
              <w:spacing w:after="0" w:line="159" w:lineRule="exact"/>
              <w:rPr>
                <w:sz w:val="20"/>
                <w:szCs w:val="20"/>
                <w:color w:val="auto"/>
              </w:rPr>
            </w:pPr>
            <w:r>
              <w:rPr>
                <w:rFonts w:ascii="Times New Roman" w:cs="Times New Roman" w:eastAsia="Times New Roman" w:hAnsi="Times New Roman"/>
                <w:sz w:val="14"/>
                <w:szCs w:val="14"/>
                <w:color w:val="auto"/>
              </w:rPr>
              <w:t>Deduction for amounts reported under the “Stock Awards”</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(1,166,748)</w:t>
            </w:r>
          </w:p>
        </w:tc>
        <w:tc>
          <w:tcPr>
            <w:tcW w:w="42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(1,443,831)</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(987,593)</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(987,624)</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(683,251)</w:t>
            </w:r>
          </w:p>
        </w:tc>
        <w:tc>
          <w:tcPr>
            <w:tcW w:w="0" w:type="dxa"/>
            <w:vAlign w:val="bottom"/>
          </w:tcPr>
          <w:p>
            <w:pPr>
              <w:spacing w:after="0"/>
              <w:rPr>
                <w:sz w:val="1"/>
                <w:szCs w:val="1"/>
                <w:color w:val="auto"/>
              </w:rPr>
            </w:pPr>
          </w:p>
        </w:tc>
      </w:tr>
      <w:tr>
        <w:trPr>
          <w:trHeight w:val="188"/>
        </w:trPr>
        <w:tc>
          <w:tcPr>
            <w:tcW w:w="274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column in the Summary Compensation Table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tcBorders>
            <w:gridSpan w:val="7"/>
          </w:tcPr>
          <w:p>
            <w:pPr>
              <w:ind w:left="20"/>
              <w:spacing w:after="0" w:line="149" w:lineRule="exact"/>
              <w:rPr>
                <w:sz w:val="20"/>
                <w:szCs w:val="20"/>
                <w:color w:val="auto"/>
              </w:rPr>
            </w:pPr>
            <w:r>
              <w:rPr>
                <w:rFonts w:ascii="Times New Roman" w:cs="Times New Roman" w:eastAsia="Times New Roman" w:hAnsi="Times New Roman"/>
                <w:sz w:val="14"/>
                <w:szCs w:val="14"/>
                <w:color w:val="auto"/>
              </w:rPr>
              <w:t>Deduction for amounts reported under the “Option Awards”</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74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column in the Summary Compensation Table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tcBorders>
            <w:gridSpan w:val="8"/>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for fair value of awards granted during year that remain</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133,520</w:t>
            </w:r>
          </w:p>
        </w:tc>
        <w:tc>
          <w:tcPr>
            <w:tcW w:w="42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820,305</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1,281,307</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461,904</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1,347,374</w:t>
            </w:r>
          </w:p>
        </w:tc>
        <w:tc>
          <w:tcPr>
            <w:tcW w:w="0" w:type="dxa"/>
            <w:vAlign w:val="bottom"/>
          </w:tcPr>
          <w:p>
            <w:pPr>
              <w:spacing w:after="0"/>
              <w:rPr>
                <w:sz w:val="1"/>
                <w:szCs w:val="1"/>
                <w:color w:val="auto"/>
              </w:rPr>
            </w:pPr>
          </w:p>
        </w:tc>
      </w:tr>
      <w:tr>
        <w:trPr>
          <w:trHeight w:val="188"/>
        </w:trPr>
        <w:tc>
          <w:tcPr>
            <w:tcW w:w="146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unvested as of year-end</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tcBorders>
            <w:gridSpan w:val="7"/>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for fair value of awards granted during year that vest</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9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during year</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60" w:type="dxa"/>
            <w:vAlign w:val="bottom"/>
            <w:tcBorders>
              <w:left w:val="single" w:sz="8" w:color="auto"/>
            </w:tcBorders>
            <w:gridSpan w:val="8"/>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Increase/deduction for change in fair value from prior year-end</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40" w:type="dxa"/>
            <w:vAlign w:val="bottom"/>
            <w:tcBorders>
              <w:left w:val="single" w:sz="8" w:color="auto"/>
            </w:tcBorders>
            <w:gridSpan w:val="7"/>
          </w:tcPr>
          <w:p>
            <w:pPr>
              <w:ind w:left="20"/>
              <w:spacing w:after="0" w:line="139" w:lineRule="exact"/>
              <w:rPr>
                <w:sz w:val="20"/>
                <w:szCs w:val="20"/>
                <w:color w:val="auto"/>
              </w:rPr>
            </w:pPr>
            <w:r>
              <w:rPr>
                <w:rFonts w:ascii="Times New Roman" w:cs="Times New Roman" w:eastAsia="Times New Roman" w:hAnsi="Times New Roman"/>
                <w:sz w:val="14"/>
                <w:szCs w:val="14"/>
                <w:color w:val="auto"/>
              </w:rPr>
              <w:t>to current year-end of awards granted prior to year that were</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(942,746)</w:t>
            </w:r>
          </w:p>
        </w:tc>
        <w:tc>
          <w:tcPr>
            <w:tcW w:w="42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(688,760)</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(28,506)</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(2,432,239)</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1,816,653</w:t>
            </w:r>
          </w:p>
        </w:tc>
        <w:tc>
          <w:tcPr>
            <w:tcW w:w="0" w:type="dxa"/>
            <w:vAlign w:val="bottom"/>
          </w:tcPr>
          <w:p>
            <w:pPr>
              <w:spacing w:after="0"/>
              <w:rPr>
                <w:sz w:val="1"/>
                <w:szCs w:val="1"/>
                <w:color w:val="auto"/>
              </w:rPr>
            </w:pPr>
          </w:p>
        </w:tc>
      </w:tr>
      <w:tr>
        <w:trPr>
          <w:trHeight w:val="188"/>
        </w:trPr>
        <w:tc>
          <w:tcPr>
            <w:tcW w:w="274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outstanding and unvested as of year-end</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60" w:type="dxa"/>
            <w:vAlign w:val="bottom"/>
            <w:tcBorders>
              <w:left w:val="single" w:sz="8" w:color="auto"/>
            </w:tcBorders>
            <w:gridSpan w:val="8"/>
          </w:tcPr>
          <w:p>
            <w:pPr>
              <w:ind w:left="20"/>
              <w:spacing w:after="0" w:line="159" w:lineRule="exact"/>
              <w:rPr>
                <w:sz w:val="20"/>
                <w:szCs w:val="20"/>
                <w:color w:val="auto"/>
              </w:rPr>
            </w:pPr>
            <w:r>
              <w:rPr>
                <w:rFonts w:ascii="Times New Roman" w:cs="Times New Roman" w:eastAsia="Times New Roman" w:hAnsi="Times New Roman"/>
                <w:sz w:val="14"/>
                <w:szCs w:val="14"/>
                <w:color w:val="auto"/>
              </w:rPr>
              <w:t>Increase/deduction for change in fair value from prior year-end</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40" w:type="dxa"/>
            <w:vAlign w:val="bottom"/>
            <w:tcBorders>
              <w:left w:val="single" w:sz="8" w:color="auto"/>
            </w:tcBorders>
            <w:gridSpan w:val="7"/>
          </w:tcPr>
          <w:p>
            <w:pPr>
              <w:ind w:left="20"/>
              <w:spacing w:after="0" w:line="139" w:lineRule="exact"/>
              <w:rPr>
                <w:sz w:val="20"/>
                <w:szCs w:val="20"/>
                <w:color w:val="auto"/>
              </w:rPr>
            </w:pPr>
            <w:r>
              <w:rPr>
                <w:rFonts w:ascii="Times New Roman" w:cs="Times New Roman" w:eastAsia="Times New Roman" w:hAnsi="Times New Roman"/>
                <w:sz w:val="14"/>
                <w:szCs w:val="14"/>
                <w:color w:val="auto"/>
              </w:rPr>
              <w:t>to vesting date of awards granted prior to year that vested</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(23,798)</w:t>
            </w:r>
          </w:p>
        </w:tc>
        <w:tc>
          <w:tcPr>
            <w:tcW w:w="42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(118,537)</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246,679</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(757,510)</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482,777</w:t>
            </w:r>
          </w:p>
        </w:tc>
        <w:tc>
          <w:tcPr>
            <w:tcW w:w="0" w:type="dxa"/>
            <w:vAlign w:val="bottom"/>
          </w:tcPr>
          <w:p>
            <w:pPr>
              <w:spacing w:after="0"/>
              <w:rPr>
                <w:sz w:val="1"/>
                <w:szCs w:val="1"/>
                <w:color w:val="auto"/>
              </w:rPr>
            </w:pPr>
          </w:p>
        </w:tc>
      </w:tr>
      <w:tr>
        <w:trPr>
          <w:trHeight w:val="188"/>
        </w:trPr>
        <w:tc>
          <w:tcPr>
            <w:tcW w:w="90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during year</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40" w:type="dxa"/>
            <w:vAlign w:val="bottom"/>
            <w:tcBorders>
              <w:left w:val="single" w:sz="8" w:color="auto"/>
            </w:tcBorders>
            <w:gridSpan w:val="7"/>
          </w:tcPr>
          <w:p>
            <w:pPr>
              <w:ind w:left="20"/>
              <w:spacing w:after="0" w:line="159" w:lineRule="exact"/>
              <w:rPr>
                <w:sz w:val="20"/>
                <w:szCs w:val="20"/>
                <w:color w:val="auto"/>
              </w:rPr>
            </w:pPr>
            <w:r>
              <w:rPr>
                <w:rFonts w:ascii="Times New Roman" w:cs="Times New Roman" w:eastAsia="Times New Roman" w:hAnsi="Times New Roman"/>
                <w:sz w:val="14"/>
                <w:szCs w:val="14"/>
                <w:color w:val="auto"/>
              </w:rPr>
              <w:t>Deduction of fair value of awards granted prior to year that</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3"/>
                <w:szCs w:val="13"/>
                <w:color w:val="auto"/>
              </w:rPr>
            </w:pPr>
          </w:p>
        </w:tc>
        <w:tc>
          <w:tcPr>
            <w:tcW w:w="6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88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were forfeited during year</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40" w:type="dxa"/>
            <w:vAlign w:val="bottom"/>
            <w:tcBorders>
              <w:left w:val="single" w:sz="8" w:color="auto"/>
            </w:tcBorders>
            <w:gridSpan w:val="7"/>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based on dividends or other earnings paid during year</w:t>
            </w:r>
          </w:p>
        </w:tc>
        <w:tc>
          <w:tcPr>
            <w:tcW w:w="520" w:type="dxa"/>
            <w:vAlign w:val="bottom"/>
            <w:vMerge w:val="restart"/>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880" w:type="dxa"/>
            <w:vAlign w:val="bottom"/>
            <w:tcBorders>
              <w:left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prior to vesting date of award</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Total Adjustments</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(1,999,772)</w:t>
            </w:r>
          </w:p>
        </w:tc>
        <w:tc>
          <w:tcPr>
            <w:tcW w:w="4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(1,430,823)</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511,887</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(3,715,469)</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2,963,553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hanging="230"/>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used to calculate the Peer Group Total Shareholder Return is the S&amp;P Select Industry Index.</w:t>
      </w:r>
    </w:p>
    <w:p>
      <w:pPr>
        <w:spacing w:after="0" w:line="9"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values in thousands.</w:t>
      </w:r>
    </w:p>
    <w:p>
      <w:pPr>
        <w:spacing w:after="0" w:line="5" w:lineRule="exact"/>
        <w:rPr>
          <w:rFonts w:ascii="Times New Roman" w:cs="Times New Roman" w:eastAsia="Times New Roman" w:hAnsi="Times New Roman"/>
          <w:sz w:val="16"/>
          <w:szCs w:val="16"/>
          <w:color w:val="auto"/>
        </w:rPr>
      </w:pPr>
    </w:p>
    <w:p>
      <w:pPr>
        <w:ind w:left="500" w:hanging="330"/>
        <w:spacing w:after="0" w:line="236" w:lineRule="auto"/>
        <w:tabs>
          <w:tab w:leader="none" w:pos="4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Pre-tax net income is the Company’s net income before income taxes, which the Company believes represents the most important financial performance metric used to link compensation actually paid to the NEOs to performance and is therefore selected as the Company-Selected Measure for purposes of this pay-versus-performance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Cumulative TSR</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CEO and the average amount of compensation actually paid to the Non-CEO NEOs have generally aligned with the Company’s cumulative TSR over the five-year period presented in the table. With respect to equity awards, the terms of the PSUs provide that the payouts will be capped at 100% of the target number of PSUs granted if absolute TSR is negative during the performance period, regardless of Basic EPS performance. See “What We Paid and Why - Compensation for NEOs - 2025 LTI Program - PSUs”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1237615</wp:posOffset>
            </wp:positionV>
            <wp:extent cx="4526280" cy="254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45262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Net Income</w:t>
      </w:r>
    </w:p>
    <w:p>
      <w:pPr>
        <w:spacing w:after="0" w:line="2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CEO and the average amount of compensation actually paid to the Non-CEO NEOs have generally aligned with the Company’s net income over the five-year period presented in the table. While the Company does not use net income as a stand-alone performance measure in the overall executive compensation program, the measure of net income is correlated with the measure pre-tax net income (which is net income before income taxes). As further discussed in the section that follows, the determination as to the amount of the total Annual Bonus payment earned by each participating NEO under the Annual Bonus Plan is significantly influenced by the pre-tax net income generated for the year as compared to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387985</wp:posOffset>
            </wp:positionV>
            <wp:extent cx="4526280" cy="26231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26280" cy="262318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Actually Paid and Pre-Tax Net Income</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CEO and the average amount of compensation actually paid to the Non-CEO NEOs has generally aligned with the Company’s pre-tax net income over the five-year period presented in the table. While the Company uses TSR, earnings per share, home closings and pre-tax net income for the purpose of evaluating performance for the Company’s compensation programs, the Company has determined that pre-tax net income over the long-term is the financial performance measure that, in the Company’s assessment, represents the most important performance measure (that is not otherwise required to be disclosed in the table) used by the Company to link compensation actually paid to the NEOs to Company performance. The Compensation Committee’s determination as to the amount of the total Annual Bonus payment earned by each participating NEO under the Annual Bonus Plan is significantly influenced by the pre-tax net income generated for the year as compared to target. For 2025, 2024, 2023, 2022 and 2021, the total Annual Bonus payment to be earned by each participating NEO was based (i) 75% on the pre-tax net income during the year as compared to target and (ii) 25% on the number of home closings during the year as compared to the target. The payouts could range from 0% - 200% of the target annual bonus amount depending on the results achieved as compared to the threshold, target, and maximum for each measure, calculated and awarded independently, such that one portion of the award may be earned even if the threshold level of performance for the other measure is not achieved. The performance targets and payout terms applied to each NEO based on the Compensation Committee’s determination that each is integral to the overall success of the Company. See “What We Paid and Why - Compensation for NEOs - Annual Cash Bonus - Short-term Incentive Compensation”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377190</wp:posOffset>
            </wp:positionV>
            <wp:extent cx="4526280" cy="263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Cumulative TSR of the Company and Cumulative TSR of the Peer Group</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demonstrated by the following graph, the Company’s cumulative TSR over the five-year period presented in the table was $40.59, while the cumulative TSR of the peer group presented for this purpose, the S&amp;P Select Industry Index, over the three-year period presented in the table was $179.02.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1237615</wp:posOffset>
            </wp:positionV>
            <wp:extent cx="4526280" cy="258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452628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Key Performance Measures</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contains an unranked list of the most important performance measures used by the Company to link executive compensation actually paid to the Company’s fiscal year 2025 performance.</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Key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21590</wp:posOffset>
            </wp:positionV>
            <wp:extent cx="296608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66085" cy="154305"/>
                    </a:xfrm>
                    <a:prstGeom prst="rect">
                      <a:avLst/>
                    </a:prstGeom>
                    <a:noFill/>
                  </pic:spPr>
                </pic:pic>
              </a:graphicData>
            </a:graphic>
          </wp:anchor>
        </w:drawing>
      </w:r>
    </w:p>
    <w:p>
      <w:pPr>
        <w:spacing w:after="0" w:line="4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Pre-Tax Net Income</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Earnings Per Share</w:t>
      </w:r>
    </w:p>
    <w:p>
      <w:pPr>
        <w:spacing w:after="0" w:line="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Home Closings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-116205</wp:posOffset>
            </wp:positionV>
            <wp:extent cx="296608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66085"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CEO to Median Employee Pay Ratio for 2025 was 50:1.</w:t>
      </w:r>
    </w:p>
    <w:p>
      <w:pPr>
        <w:spacing w:after="0" w:line="121" w:lineRule="exact"/>
        <w:rPr>
          <w:sz w:val="20"/>
          <w:szCs w:val="20"/>
          <w:color w:val="auto"/>
        </w:rPr>
      </w:pPr>
    </w:p>
    <w:p>
      <w:pPr>
        <w:jc w:val="both"/>
        <w:ind w:firstLine="192"/>
        <w:spacing w:after="0" w:line="266" w:lineRule="auto"/>
        <w:rPr>
          <w:sz w:val="20"/>
          <w:szCs w:val="20"/>
          <w:color w:val="auto"/>
        </w:rPr>
      </w:pPr>
      <w:r>
        <w:rPr>
          <w:rFonts w:ascii="Times New Roman" w:cs="Times New Roman" w:eastAsia="Times New Roman" w:hAnsi="Times New Roman"/>
          <w:sz w:val="18"/>
          <w:szCs w:val="18"/>
          <w:color w:val="auto"/>
        </w:rPr>
        <w:t>We believe our executive compensation program must be consistent and internally equitable to motivate our employees to perform in ways that enhance stockholder value. We are committed to internal pay equity, and the Compensation Committee monitors the relationship between the pay of our executive officers and the pay of our non-executive employees.</w:t>
      </w:r>
    </w:p>
    <w:p>
      <w:pPr>
        <w:spacing w:after="0" w:line="68" w:lineRule="exact"/>
        <w:rPr>
          <w:sz w:val="20"/>
          <w:szCs w:val="20"/>
          <w:color w:val="auto"/>
        </w:rPr>
      </w:pPr>
    </w:p>
    <w:p>
      <w:pPr>
        <w:jc w:val="both"/>
        <w:ind w:firstLine="220"/>
        <w:spacing w:after="0" w:line="255" w:lineRule="auto"/>
        <w:rPr>
          <w:sz w:val="20"/>
          <w:szCs w:val="20"/>
          <w:color w:val="auto"/>
        </w:rPr>
      </w:pPr>
      <w:r>
        <w:rPr>
          <w:rFonts w:ascii="Times New Roman" w:cs="Times New Roman" w:eastAsia="Times New Roman" w:hAnsi="Times New Roman"/>
          <w:sz w:val="18"/>
          <w:szCs w:val="18"/>
          <w:color w:val="auto"/>
        </w:rPr>
        <w:t>Our CEO to median employee pay ratio is calculated in accordance with the applicable SEC rules and SEC Staff guidance interpreting such rules. We selected December 31, 2025 as the date to identify our median employee, at which time our employee population consisted of 1,056 persons, of which 59% are on-site sales and support personnel. This population consisted of our full-time, part-time, seasonal and temporary employees. To identify our median employee from our employee population, we used employees’ 2025 gross compensation from our payroll records, which reflects all compensation recorded for our employees for 2025, as our consistently applied compensation measure. We annualized the gross compensation for any full-time or part-time employees who were hired in 2025 but were not employed by us for all of 2025. We then ranked the 2025 gross compensation of all employees, excluding the CEO (a list of 1,055 employees), from lowest to highest and identified our median employee.</w:t>
      </w:r>
    </w:p>
    <w:p>
      <w:pPr>
        <w:spacing w:after="0" w:line="81" w:lineRule="exact"/>
        <w:rPr>
          <w:sz w:val="20"/>
          <w:szCs w:val="20"/>
          <w:color w:val="auto"/>
        </w:rPr>
      </w:pPr>
    </w:p>
    <w:p>
      <w:pPr>
        <w:jc w:val="both"/>
        <w:ind w:firstLine="174"/>
        <w:spacing w:after="0" w:line="266" w:lineRule="auto"/>
        <w:rPr>
          <w:sz w:val="20"/>
          <w:szCs w:val="20"/>
          <w:color w:val="auto"/>
        </w:rPr>
      </w:pPr>
      <w:r>
        <w:rPr>
          <w:rFonts w:ascii="Times New Roman" w:cs="Times New Roman" w:eastAsia="Times New Roman" w:hAnsi="Times New Roman"/>
          <w:sz w:val="18"/>
          <w:szCs w:val="18"/>
          <w:color w:val="auto"/>
        </w:rPr>
        <w:t>After identifying our median employee, we combined all of the elements of this employee’s compensation for 2025 in accordance with Item 402(c)(2)(x) of Regulation S-K, resulting in total annual compensation of $103,539. With respect to the annual total compensation of our CEO, we used $5,182,051, the amount reported in the “Total” column of our Summary Executive Compensation Table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information, the pay ratio of our CEO’s annual total compensation to that of our median employee for 2025 was approximately 50 to 1.</w:t>
      </w:r>
    </w:p>
    <w:p>
      <w:pPr>
        <w:spacing w:after="0" w:line="117"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We believe that the above pay ratio is a reasonable estimate calculated in a manner consistent with Item 402(u) of Regulation S-K. In addition, because the SEC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Quantification of Termination/Change in Control Payments</w:t>
      </w:r>
    </w:p>
    <w:p>
      <w:pPr>
        <w:spacing w:after="0" w:line="121" w:lineRule="exact"/>
        <w:rPr>
          <w:sz w:val="20"/>
          <w:szCs w:val="20"/>
          <w:color w:val="auto"/>
        </w:rPr>
      </w:pPr>
    </w:p>
    <w:p>
      <w:pPr>
        <w:jc w:val="both"/>
        <w:ind w:firstLine="275"/>
        <w:spacing w:after="0" w:line="253" w:lineRule="auto"/>
        <w:rPr>
          <w:sz w:val="20"/>
          <w:szCs w:val="20"/>
          <w:color w:val="auto"/>
        </w:rPr>
      </w:pPr>
      <w:r>
        <w:rPr>
          <w:rFonts w:ascii="Times New Roman" w:cs="Times New Roman" w:eastAsia="Times New Roman" w:hAnsi="Times New Roman"/>
          <w:sz w:val="18"/>
          <w:szCs w:val="18"/>
          <w:color w:val="211D1E"/>
        </w:rPr>
        <w:t>We have an employment agreement with Mr. Eric Lipar, our CEO, that will require us to provide compensation for him in the event of specified terminations of his employment or upon a change in control of LGI. In addition, the grant agreements for outstanding equity awards under the 2013 Incentive Plan provide that unvested shares will vest upon a change in control of LGI. We have listed the amount of compensation we would be required to pay to each named executive officer in each situation in the tables below. Amounts included in the tables are estimates and are forward-looking statements made pursuant to the safe harbor provisions of the Private Securities Litigation Reform Act of 1995. Due to the number of factors that affect the nature and amount of any benefits provided upon the events discussed below, any actual amounts we pay or distribute may differ materially. Factors that could affect these amounts include the timing during the year of any such event, the amount of future bonuses, and the value of our common stock on the date of the change in control. The amounts shown in the tables below assume that the event that triggered the payment occurred on December 31, 2025. All amounts shown represent total payments, except as otherwise noted. We expect to time the payment of all amounts shown to comply with Section 409A of the Code. For discussion of Mr. Eric Lipar’s severance benefits and other aspects of his employment contract, see “CEO Employment Agreement.”</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1D1E"/>
        </w:rPr>
        <w:t>In October 2025, the Compensation Committee authorized and approved a change in control plan covering the executive officers of the Company and certain other officers of the Company. In February 2026, in lieu of putting in place a plan, the Compensation Committee authorized and approved the Company entering into the CIC Agreements with each NEO and certain other officers of the Company. Under the CIC Agreements, the officer party to the CIC Agreement is entitled to a lump-sum payment and a continuation of benefits upon a termination by the Company without cause or such officer’s resignation due to a material change in employment on or within two years following a change in control. Upon a termination by the Company without cause or resignation due to a material change in employment on or within two years following a change in control, Mr. Lipar is entitled to a lump-sum payment equal to three times the sum of his base salary and annual cash bonus (at target), and Messrs. Snider, Merdian and Garber are entitled to a lump-sum payment equal to two times the sum of their respective base salary and annual cash bonus (at target), and each of Messrs. Lipar, Snider, Merdian and Garber is entitled to benefits continuation coverage for 18 months after termination. The Company expects to amend the Lipar Employment Agreement so that the severance benefits set forth in his CIC Agreement would replace the severance benefits currently included in the Lipar Employment Agreement.</w:t>
      </w:r>
    </w:p>
    <w:p>
      <w:pPr>
        <w:spacing w:after="0" w:line="221" w:lineRule="exact"/>
        <w:rPr>
          <w:sz w:val="20"/>
          <w:szCs w:val="20"/>
          <w:color w:val="auto"/>
        </w:rPr>
      </w:pPr>
    </w:p>
    <w:p>
      <w:pPr>
        <w:jc w:val="both"/>
        <w:ind w:firstLine="189"/>
        <w:spacing w:after="0" w:line="250" w:lineRule="auto"/>
        <w:rPr>
          <w:sz w:val="20"/>
          <w:szCs w:val="20"/>
          <w:color w:val="auto"/>
        </w:rPr>
      </w:pPr>
      <w:r>
        <w:rPr>
          <w:rFonts w:ascii="Times New Roman" w:cs="Times New Roman" w:eastAsia="Times New Roman" w:hAnsi="Times New Roman"/>
          <w:sz w:val="18"/>
          <w:szCs w:val="18"/>
          <w:color w:val="211D1E"/>
        </w:rPr>
        <w:t xml:space="preserve">In addition, there are change of control provisions in the 2013 Incentive Plan and the PSU and RSU grant agreements under the 2013 Incentive Plan that provide for immediate vesting in the event of a change in control; PSUs will pay out at target. The Compensation Committee believes that the CIC Agreement and the change of control provisions in the 2013 Incentive Plan and PSU and RSU grant agreements thereunder will preserve executive morale and productivity and encourage retention in the face </w:t>
      </w:r>
      <w:r>
        <w:rPr>
          <w:rFonts w:ascii="Times New Roman" w:cs="Times New Roman" w:eastAsia="Times New Roman" w:hAnsi="Times New Roman"/>
          <w:sz w:val="18"/>
          <w:szCs w:val="18"/>
          <w:color w:val="000000"/>
        </w:rPr>
        <w:t>of an actual or rumored change in control.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Eric Lipar</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3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Termination Scenario</w:t>
            </w:r>
          </w:p>
        </w:tc>
        <w:tc>
          <w:tcPr>
            <w:tcW w:w="320" w:type="dxa"/>
            <w:vAlign w:val="bottom"/>
          </w:tcPr>
          <w:p>
            <w:pPr>
              <w:spacing w:after="0"/>
              <w:rPr>
                <w:sz w:val="11"/>
                <w:szCs w:val="11"/>
                <w:color w:val="auto"/>
              </w:rPr>
            </w:pPr>
          </w:p>
        </w:tc>
        <w:tc>
          <w:tcPr>
            <w:tcW w:w="1540" w:type="dxa"/>
            <w:vAlign w:val="bottom"/>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1"/>
                <w:szCs w:val="11"/>
                <w:color w:val="auto"/>
              </w:rPr>
            </w:pPr>
          </w:p>
        </w:tc>
        <w:tc>
          <w:tcPr>
            <w:tcW w:w="1580" w:type="dxa"/>
            <w:vAlign w:val="bottom"/>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140" w:type="dxa"/>
            <w:vAlign w:val="bottom"/>
          </w:tcPr>
          <w:p>
            <w:pPr>
              <w:spacing w:after="0"/>
              <w:rPr>
                <w:sz w:val="11"/>
                <w:szCs w:val="11"/>
                <w:color w:val="auto"/>
              </w:rPr>
            </w:pPr>
          </w:p>
        </w:tc>
        <w:tc>
          <w:tcPr>
            <w:tcW w:w="158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400" w:type="dxa"/>
            <w:vAlign w:val="bottom"/>
          </w:tcPr>
          <w:p>
            <w:pPr>
              <w:spacing w:after="0"/>
              <w:rPr>
                <w:sz w:val="11"/>
                <w:szCs w:val="11"/>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Cash Severance (1)</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Unvested PSUs (2)(3)</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Unvested RSUs (2)(3)</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Death</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4,533,526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1,133,414</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4,533,526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1,133,414</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Voluntary Resignation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for Cause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4,533,526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1,133,414</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5,666,940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Involuntary Termination w/o Cause, or Resignation for Good</w:t>
            </w: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Reason Prior to</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1,950,000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4,533,526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1,133,414</w:t>
            </w:r>
          </w:p>
        </w:tc>
        <w:tc>
          <w:tcPr>
            <w:tcW w:w="4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7,616,940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Control (4)</w:t>
            </w:r>
          </w:p>
        </w:tc>
        <w:tc>
          <w:tcPr>
            <w:tcW w:w="3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after Change in Control (4)</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4,533,526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1,133,414</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12,248,940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625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625475"/>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Michael Snider</w:t>
      </w:r>
    </w:p>
    <w:tbl>
      <w:tblPr>
        <w:tblLayout w:type="fixed"/>
        <w:tblInd w:w="0" w:type="dxa"/>
        <w:tblCellMar>
          <w:top w:w="0" w:type="dxa"/>
          <w:left w:w="0" w:type="dxa"/>
          <w:bottom w:w="0" w:type="dxa"/>
          <w:right w:w="0" w:type="dxa"/>
        </w:tblCellMar>
      </w:tblPr>
      <w:tr>
        <w:trPr>
          <w:trHeight w:val="180"/>
        </w:trPr>
        <w:tc>
          <w:tcPr>
            <w:tcW w:w="436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Termination Scenario</w:t>
            </w:r>
          </w:p>
        </w:tc>
        <w:tc>
          <w:tcPr>
            <w:tcW w:w="100" w:type="dxa"/>
            <w:vAlign w:val="bottom"/>
          </w:tcPr>
          <w:p>
            <w:pPr>
              <w:spacing w:after="0"/>
              <w:rPr>
                <w:sz w:val="15"/>
                <w:szCs w:val="15"/>
                <w:color w:val="auto"/>
              </w:rPr>
            </w:pPr>
          </w:p>
        </w:tc>
        <w:tc>
          <w:tcPr>
            <w:tcW w:w="1580" w:type="dxa"/>
            <w:vAlign w:val="bottom"/>
          </w:tcPr>
          <w:p>
            <w:pPr>
              <w:jc w:val="right"/>
              <w:ind w:right="519"/>
              <w:spacing w:after="0" w:line="180" w:lineRule="exact"/>
              <w:rPr>
                <w:sz w:val="20"/>
                <w:szCs w:val="20"/>
                <w:color w:val="auto"/>
              </w:rPr>
            </w:pPr>
            <w:r>
              <w:rPr>
                <w:rFonts w:ascii="Times New Roman" w:cs="Times New Roman" w:eastAsia="Times New Roman" w:hAnsi="Times New Roman"/>
                <w:sz w:val="16"/>
                <w:szCs w:val="16"/>
                <w:b w:val="1"/>
                <w:bCs w:val="1"/>
                <w:color w:val="auto"/>
              </w:rPr>
              <w:t>Bonus/</w:t>
            </w:r>
          </w:p>
        </w:tc>
        <w:tc>
          <w:tcPr>
            <w:tcW w:w="140" w:type="dxa"/>
            <w:vAlign w:val="bottom"/>
          </w:tcPr>
          <w:p>
            <w:pPr>
              <w:spacing w:after="0"/>
              <w:rPr>
                <w:sz w:val="15"/>
                <w:szCs w:val="15"/>
                <w:color w:val="auto"/>
              </w:rPr>
            </w:pPr>
          </w:p>
        </w:tc>
        <w:tc>
          <w:tcPr>
            <w:tcW w:w="1580" w:type="dxa"/>
            <w:vAlign w:val="bottom"/>
          </w:tcPr>
          <w:p>
            <w:pPr>
              <w:jc w:val="right"/>
              <w:ind w:right="119"/>
              <w:spacing w:after="0" w:line="180" w:lineRule="exact"/>
              <w:rPr>
                <w:sz w:val="20"/>
                <w:szCs w:val="20"/>
                <w:color w:val="auto"/>
              </w:rPr>
            </w:pPr>
            <w:r>
              <w:rPr>
                <w:rFonts w:ascii="Times New Roman" w:cs="Times New Roman" w:eastAsia="Times New Roman" w:hAnsi="Times New Roman"/>
                <w:sz w:val="16"/>
                <w:szCs w:val="16"/>
                <w:b w:val="1"/>
                <w:bCs w:val="1"/>
                <w:color w:val="auto"/>
              </w:rPr>
              <w:t>Acceleration from</w:t>
            </w:r>
          </w:p>
        </w:tc>
        <w:tc>
          <w:tcPr>
            <w:tcW w:w="140" w:type="dxa"/>
            <w:vAlign w:val="bottom"/>
          </w:tcPr>
          <w:p>
            <w:pPr>
              <w:spacing w:after="0"/>
              <w:rPr>
                <w:sz w:val="15"/>
                <w:szCs w:val="15"/>
                <w:color w:val="auto"/>
              </w:rPr>
            </w:pPr>
          </w:p>
        </w:tc>
        <w:tc>
          <w:tcPr>
            <w:tcW w:w="1580" w:type="dxa"/>
            <w:vAlign w:val="bottom"/>
          </w:tcPr>
          <w:p>
            <w:pPr>
              <w:jc w:val="right"/>
              <w:ind w:right="139"/>
              <w:spacing w:after="0" w:line="180" w:lineRule="exact"/>
              <w:rPr>
                <w:sz w:val="20"/>
                <w:szCs w:val="20"/>
                <w:color w:val="auto"/>
              </w:rPr>
            </w:pPr>
            <w:r>
              <w:rPr>
                <w:rFonts w:ascii="Times New Roman" w:cs="Times New Roman" w:eastAsia="Times New Roman" w:hAnsi="Times New Roman"/>
                <w:sz w:val="16"/>
                <w:szCs w:val="16"/>
                <w:b w:val="1"/>
                <w:bCs w:val="1"/>
                <w:color w:val="auto"/>
              </w:rPr>
              <w:t>Acceleration from</w:t>
            </w:r>
          </w:p>
        </w:tc>
        <w:tc>
          <w:tcPr>
            <w:tcW w:w="400" w:type="dxa"/>
            <w:vAlign w:val="bottom"/>
          </w:tcPr>
          <w:p>
            <w:pPr>
              <w:spacing w:after="0"/>
              <w:rPr>
                <w:sz w:val="15"/>
                <w:szCs w:val="15"/>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Unvested PSUs (2)(3)</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Unvested RSUs (2)(3)</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Death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384,535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3,222,460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384,535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1,922,460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Resignation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Termination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Control (4)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384,535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4,522,460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Charles Merdian</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Termination Scenario</w:t>
            </w:r>
          </w:p>
        </w:tc>
        <w:tc>
          <w:tcPr>
            <w:tcW w:w="880" w:type="dxa"/>
            <w:vAlign w:val="bottom"/>
          </w:tcPr>
          <w:p>
            <w:pPr>
              <w:spacing w:after="0"/>
              <w:rPr>
                <w:sz w:val="11"/>
                <w:szCs w:val="11"/>
                <w:color w:val="auto"/>
              </w:rPr>
            </w:pPr>
          </w:p>
        </w:tc>
        <w:tc>
          <w:tcPr>
            <w:tcW w:w="1500" w:type="dxa"/>
            <w:vAlign w:val="bottom"/>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1"/>
                <w:szCs w:val="11"/>
                <w:color w:val="auto"/>
              </w:rPr>
            </w:pPr>
          </w:p>
        </w:tc>
        <w:tc>
          <w:tcPr>
            <w:tcW w:w="1580" w:type="dxa"/>
            <w:vAlign w:val="bottom"/>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140" w:type="dxa"/>
            <w:vAlign w:val="bottom"/>
          </w:tcPr>
          <w:p>
            <w:pPr>
              <w:spacing w:after="0"/>
              <w:rPr>
                <w:sz w:val="11"/>
                <w:szCs w:val="11"/>
                <w:color w:val="auto"/>
              </w:rPr>
            </w:pPr>
          </w:p>
        </w:tc>
        <w:tc>
          <w:tcPr>
            <w:tcW w:w="158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400" w:type="dxa"/>
            <w:vAlign w:val="bottom"/>
          </w:tcPr>
          <w:p>
            <w:pPr>
              <w:spacing w:after="0"/>
              <w:rPr>
                <w:sz w:val="11"/>
                <w:szCs w:val="11"/>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Unvested PSUs (2)(3)</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Unvested RSUs (2)(3)</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Death</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1,419,184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354,807</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Disability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1,419,184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354,807</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Resignation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Control (4)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1,419,184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354,807</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6000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600075"/>
                    </a:xfrm>
                    <a:prstGeom prst="rect">
                      <a:avLst/>
                    </a:prstGeom>
                    <a:noFill/>
                  </pic:spPr>
                </pic:pic>
              </a:graphicData>
            </a:graphic>
          </wp:anchor>
        </w:drawing>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Scott Garber</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3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Termination Scenario</w:t>
            </w:r>
          </w:p>
        </w:tc>
        <w:tc>
          <w:tcPr>
            <w:tcW w:w="100" w:type="dxa"/>
            <w:vAlign w:val="bottom"/>
          </w:tcPr>
          <w:p>
            <w:pPr>
              <w:spacing w:after="0"/>
              <w:rPr>
                <w:sz w:val="11"/>
                <w:szCs w:val="11"/>
                <w:color w:val="auto"/>
              </w:rPr>
            </w:pPr>
          </w:p>
        </w:tc>
        <w:tc>
          <w:tcPr>
            <w:tcW w:w="1580" w:type="dxa"/>
            <w:vAlign w:val="bottom"/>
          </w:tcPr>
          <w:p>
            <w:pPr>
              <w:jc w:val="right"/>
              <w:ind w:right="520"/>
              <w:spacing w:after="0" w:line="129" w:lineRule="exact"/>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1"/>
                <w:szCs w:val="11"/>
                <w:color w:val="auto"/>
              </w:rPr>
            </w:pPr>
          </w:p>
        </w:tc>
        <w:tc>
          <w:tcPr>
            <w:tcW w:w="1580" w:type="dxa"/>
            <w:vAlign w:val="bottom"/>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140" w:type="dxa"/>
            <w:vAlign w:val="bottom"/>
          </w:tcPr>
          <w:p>
            <w:pPr>
              <w:spacing w:after="0"/>
              <w:rPr>
                <w:sz w:val="11"/>
                <w:szCs w:val="11"/>
                <w:color w:val="auto"/>
              </w:rPr>
            </w:pPr>
          </w:p>
        </w:tc>
        <w:tc>
          <w:tcPr>
            <w:tcW w:w="158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Acceleration from</w:t>
            </w:r>
          </w:p>
        </w:tc>
        <w:tc>
          <w:tcPr>
            <w:tcW w:w="400" w:type="dxa"/>
            <w:vAlign w:val="bottom"/>
          </w:tcPr>
          <w:p>
            <w:pPr>
              <w:spacing w:after="0"/>
              <w:rPr>
                <w:sz w:val="11"/>
                <w:szCs w:val="11"/>
                <w:color w:val="auto"/>
              </w:rPr>
            </w:pPr>
          </w:p>
        </w:tc>
        <w:tc>
          <w:tcPr>
            <w:tcW w:w="134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Cash Severance</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Unvested PSUs (2)(3)</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Unvested RSUs (2)(3)</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Death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141,725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1,410,281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Disability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141,725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708,281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Resignation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9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Control (4)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141,725</w:t>
            </w: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2,206,281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hanging="330"/>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“CEO Employment Agreement” below for a discussion of the severance payments for Mr. Lipar.</w:t>
      </w:r>
    </w:p>
    <w:p>
      <w:pPr>
        <w:spacing w:after="0" w:line="113" w:lineRule="exact"/>
        <w:rPr>
          <w:rFonts w:ascii="Times New Roman" w:cs="Times New Roman" w:eastAsia="Times New Roman" w:hAnsi="Times New Roman"/>
          <w:sz w:val="16"/>
          <w:szCs w:val="16"/>
          <w:color w:val="auto"/>
        </w:rPr>
      </w:pPr>
    </w:p>
    <w:p>
      <w:pPr>
        <w:ind w:left="500" w:right="20" w:hanging="330"/>
        <w:spacing w:after="0" w:line="280"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PSUs are fully vested upon participant’s disability, death, or immediately prior to a change in control. Equity plans include a clawback provision to the extent required by applicable law.</w:t>
      </w:r>
    </w:p>
    <w:p>
      <w:pPr>
        <w:spacing w:after="0" w:line="70" w:lineRule="exact"/>
        <w:rPr>
          <w:rFonts w:ascii="Times New Roman" w:cs="Times New Roman" w:eastAsia="Times New Roman" w:hAnsi="Times New Roman"/>
          <w:sz w:val="16"/>
          <w:szCs w:val="16"/>
          <w:color w:val="auto"/>
        </w:rPr>
      </w:pPr>
    </w:p>
    <w:p>
      <w:pPr>
        <w:ind w:left="500" w:hanging="330"/>
        <w:spacing w:after="0" w:line="280"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include the value of unvested accelerated (i) RSUs and (ii) PSUs at target, as indicated, valued at the closing stock price of our common stock on the NASDAQ Global Select Market of $42.96 on December 31,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200" w:lineRule="exact"/>
        <w:rPr>
          <w:sz w:val="20"/>
          <w:szCs w:val="20"/>
          <w:color w:val="auto"/>
        </w:rPr>
      </w:pPr>
    </w:p>
    <w:p>
      <w:pPr>
        <w:spacing w:after="0" w:line="295" w:lineRule="exact"/>
        <w:rPr>
          <w:sz w:val="20"/>
          <w:szCs w:val="20"/>
          <w:color w:val="auto"/>
        </w:rPr>
      </w:pPr>
    </w:p>
    <w:p>
      <w:pPr>
        <w:jc w:val="both"/>
        <w:ind w:left="500"/>
        <w:spacing w:after="0" w:line="272" w:lineRule="auto"/>
        <w:rPr>
          <w:sz w:val="20"/>
          <w:szCs w:val="20"/>
          <w:color w:val="auto"/>
        </w:rPr>
      </w:pPr>
      <w:r>
        <w:rPr>
          <w:rFonts w:ascii="Times New Roman" w:cs="Times New Roman" w:eastAsia="Times New Roman" w:hAnsi="Times New Roman"/>
          <w:sz w:val="16"/>
          <w:szCs w:val="16"/>
          <w:color w:val="auto"/>
        </w:rPr>
        <w:t>the last business day of our 2025 fiscal year. See “Outstanding Equity Awards at December 31, 2025” for disclosure of the events causing an acceleration of outstanding unvested PSUs and RSUs. For each termination scenario, assumes accelerated vesting of all unvested RSUs and PSUs that are subject to accelerated vesting based on such scenario.</w:t>
      </w:r>
    </w:p>
    <w:p>
      <w:pPr>
        <w:spacing w:after="0" w:line="63" w:lineRule="exact"/>
        <w:rPr>
          <w:sz w:val="20"/>
          <w:szCs w:val="20"/>
          <w:color w:val="auto"/>
        </w:rPr>
      </w:pPr>
    </w:p>
    <w:p>
      <w:pPr>
        <w:ind w:left="500" w:hanging="330"/>
        <w:spacing w:after="0"/>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Control defined in the CIC Agreement and the 2013 Incentive Plan is deemed to occur if:</w:t>
      </w:r>
    </w:p>
    <w:p>
      <w:pPr>
        <w:spacing w:after="0" w:line="26" w:lineRule="exact"/>
        <w:rPr>
          <w:rFonts w:ascii="Times New Roman" w:cs="Times New Roman" w:eastAsia="Times New Roman" w:hAnsi="Times New Roman"/>
          <w:sz w:val="16"/>
          <w:szCs w:val="16"/>
          <w:color w:val="auto"/>
        </w:rPr>
      </w:pPr>
    </w:p>
    <w:p>
      <w:pPr>
        <w:ind w:left="1140" w:hanging="646"/>
        <w:spacing w:after="0"/>
        <w:tabs>
          <w:tab w:leader="none" w:pos="114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acquires securities of the Company representing 50% or more of the total voting power of the Company;</w:t>
      </w:r>
    </w:p>
    <w:p>
      <w:pPr>
        <w:spacing w:after="0" w:line="15" w:lineRule="exact"/>
        <w:rPr>
          <w:rFonts w:ascii="Times New Roman" w:cs="Times New Roman" w:eastAsia="Times New Roman" w:hAnsi="Times New Roman"/>
          <w:sz w:val="16"/>
          <w:szCs w:val="16"/>
          <w:color w:val="auto"/>
        </w:rPr>
      </w:pPr>
    </w:p>
    <w:p>
      <w:pPr>
        <w:jc w:val="both"/>
        <w:ind w:left="1140" w:hanging="646"/>
        <w:spacing w:after="0" w:line="252" w:lineRule="auto"/>
        <w:tabs>
          <w:tab w:leader="none" w:pos="113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the composition of the Board occurring within a one-year period as a result of which fewer than a majority of the directors are Incumbent Directors (as defined in the 2013 Incentive Plan); provided, that any individual whose election or nomination for election by the stockholders was approved by a majority of the then Incumbent Directors shall be considered an Incumbent Director, with certain exceptions; or</w:t>
      </w:r>
    </w:p>
    <w:p>
      <w:pPr>
        <w:ind w:left="1140" w:hanging="646"/>
        <w:spacing w:after="0"/>
        <w:tabs>
          <w:tab w:leader="none" w:pos="114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any merger, consolidation or recapitalization of the Company or any sale of substantially all of its assets where</w:t>
      </w:r>
    </w:p>
    <w:p>
      <w:pPr>
        <w:spacing w:after="0" w:line="8" w:lineRule="exact"/>
        <w:rPr>
          <w:rFonts w:ascii="Times New Roman" w:cs="Times New Roman" w:eastAsia="Times New Roman" w:hAnsi="Times New Roman"/>
          <w:sz w:val="16"/>
          <w:szCs w:val="16"/>
          <w:color w:val="auto"/>
        </w:rPr>
      </w:pPr>
    </w:p>
    <w:p>
      <w:pPr>
        <w:jc w:val="both"/>
        <w:ind w:left="1140" w:firstLine="2"/>
        <w:spacing w:after="0" w:line="258" w:lineRule="auto"/>
        <w:tabs>
          <w:tab w:leader="none" w:pos="1370"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prior to the transaction do not, immediately thereafter, own at least 51% of both the equity and voting power of the surviving entity or (b) the Incumbent Directors at the time of the approval of the transaction would not immediately thereafter constitute a majority of the Board of the surviving entity.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Employment Agreement</w:t>
      </w:r>
    </w:p>
    <w:p>
      <w:pPr>
        <w:spacing w:after="0" w:line="20" w:lineRule="exact"/>
        <w:rPr>
          <w:sz w:val="20"/>
          <w:szCs w:val="20"/>
          <w:color w:val="auto"/>
        </w:rPr>
      </w:pPr>
    </w:p>
    <w:p>
      <w:pPr>
        <w:jc w:val="both"/>
        <w:ind w:firstLine="224"/>
        <w:spacing w:after="0" w:line="234" w:lineRule="auto"/>
        <w:rPr>
          <w:sz w:val="20"/>
          <w:szCs w:val="20"/>
          <w:color w:val="auto"/>
        </w:rPr>
      </w:pPr>
      <w:r>
        <w:rPr>
          <w:rFonts w:ascii="Times New Roman" w:cs="Times New Roman" w:eastAsia="Times New Roman" w:hAnsi="Times New Roman"/>
          <w:sz w:val="18"/>
          <w:szCs w:val="18"/>
          <w:color w:val="auto"/>
        </w:rPr>
        <w:t>The Lipar Employment Agreement provides that, if the Board terminates Mr. Lipar’s employment for Cause (as defined below), if he resigns without Good Reason (as defined below), or in the event of his death, disability or expiration of the term, he will be entitled to receive (i) any unpaid base salary accrued through the date of termination, (ii) a lump sum payment for any accrued but unused vacation pay, (iii) a lump sum payment for any previously unreimbursed business expenses incurred by him on behalf of the Company during the term of his employment, and (iv) any earned but unpaid annual bonus with respect to any completed fiscal year immediately preceding the termination date. If Mr. Lipar’s employment is terminated by the Company for Cause, then any such accrued but unpaid annual bonus shall be forfeited. The Lipar Employment Agreement also provides that, if the Board terminates the Mr. Lipar’s employment for any reason other than for Cause or if he resigns for Good Reason he will be entitled to receive a payment equal to two times his then current annual base salary, along with various other accrued benefits. If, within one year after a Change in Control or within six months prior to a Change in Control, Mr. Lipar’s employment is terminated by him for Good Reason or by the Company other than for Cause, he will be entitled to receive severance benefits consisting of: (i) a payment equal to two times his then current annual base salary; (ii) a payment equal to two times the amount of his target bonus as in effect for the twelve-month period immediately prior to such termination; and (iii) $32,500 to enable him to fund health coverage continuation benefits, along with various other accrued benefits. Such severance payments will be paid within 45 days following his separation from service. All such severance payments are subject to Mr. Lipar’s execution of a waiver and release agreement. The Company expects to amend the Lipar Employment Agreement so that the severance benefits set forth in his CIC Agreement would replace the severance benefits currently included in the Lipar Employment Agreement.</w:t>
      </w:r>
    </w:p>
    <w:p>
      <w:pPr>
        <w:spacing w:after="0" w:line="98" w:lineRule="exact"/>
        <w:rPr>
          <w:sz w:val="20"/>
          <w:szCs w:val="20"/>
          <w:color w:val="auto"/>
        </w:rPr>
      </w:pPr>
    </w:p>
    <w:p>
      <w:pPr>
        <w:jc w:val="both"/>
        <w:ind w:firstLine="183"/>
        <w:spacing w:after="0" w:line="261" w:lineRule="auto"/>
        <w:rPr>
          <w:sz w:val="20"/>
          <w:szCs w:val="20"/>
          <w:color w:val="auto"/>
        </w:rPr>
      </w:pPr>
      <w:r>
        <w:rPr>
          <w:rFonts w:ascii="Times New Roman" w:cs="Times New Roman" w:eastAsia="Times New Roman" w:hAnsi="Times New Roman"/>
          <w:sz w:val="18"/>
          <w:szCs w:val="18"/>
          <w:color w:val="auto"/>
        </w:rPr>
        <w:t>The Lipar Employment Agreement defines “Cause” as, following written notice to him and his failure to cure such occurrence(s): (i) any act or omission that constitutes a material breach by him under the Lipar Employment Agreement, (ii) conviction or plea which could reflect negatively on the Company,</w:t>
      </w:r>
    </w:p>
    <w:p>
      <w:pPr>
        <w:jc w:val="both"/>
        <w:ind w:firstLine="8"/>
        <w:spacing w:after="0" w:line="255" w:lineRule="auto"/>
        <w:tabs>
          <w:tab w:leader="none" w:pos="3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Lipar’s misconduct that is injurious to the Company, (iv) Mr. Lipar’s material breach of a written policy of the Company or the rules of any governmental or regulatory body applicable to the Company, (v) Mr. Lipar’s refusal to follow the directions of the Board or (vi) any other willful misconduct by Mr. Lipar which is materially injurious to the financial condition or business reputation of the Company.</w:t>
      </w:r>
    </w:p>
    <w:p>
      <w:pPr>
        <w:spacing w:after="0" w:line="7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8"/>
          <w:szCs w:val="18"/>
          <w:color w:val="auto"/>
        </w:rPr>
        <w:t>“Good Reason” is defined in the Lipar Employment Agreement to include: (i) a material diminution in Mr. Lipar’s base salary or a failure by the Company to pay material compensation due and payable, (ii) a material diminution in the nature or scope of Mr. Lipar’s authority, duties, responsibilities or title, (iii) requiring Mr. Lipar to be based at any office more than 50 miles from his current office location or (iv) a material breach by the Company of the employment agreement, which includes the failure of any successor entity to the Company to expressly assume the Lipar Employment Agreement.</w:t>
      </w:r>
    </w:p>
    <w:p>
      <w:pPr>
        <w:spacing w:after="0" w:line="72" w:lineRule="exact"/>
        <w:rPr>
          <w:sz w:val="20"/>
          <w:szCs w:val="20"/>
          <w:color w:val="auto"/>
        </w:rPr>
      </w:pPr>
    </w:p>
    <w:p>
      <w:pPr>
        <w:jc w:val="both"/>
        <w:ind w:firstLine="288"/>
        <w:spacing w:after="0" w:line="261" w:lineRule="auto"/>
        <w:rPr>
          <w:sz w:val="20"/>
          <w:szCs w:val="20"/>
          <w:color w:val="auto"/>
        </w:rPr>
      </w:pPr>
      <w:r>
        <w:rPr>
          <w:rFonts w:ascii="Times New Roman" w:cs="Times New Roman" w:eastAsia="Times New Roman" w:hAnsi="Times New Roman"/>
          <w:sz w:val="18"/>
          <w:szCs w:val="18"/>
          <w:color w:val="auto"/>
        </w:rPr>
        <w:t>Under the Lipar Employment Agreement and the 2013 Incentive Plan, a “Change in Control” is deemed to occur if: (i) any person becomes the beneficial owner (as defined in Rule 13d-3 of the Exchange Act) of securities of the Company representing 50% or more of the total voting power of the Company; (ii) a change in the composition of the Board occurring within a one-year period as a result of which fewer than a majority of the directors are Incumbent Directors (as defined in the 2013 Incentive Plan); provided, that any individual whose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election or nomination for election by the stockholders was approved by a majority of the then Incumbent Directors shall be considered an Incumbent Director, with certain exceptions; or (iii) any merger, consolidation or recapitalization of the Company or any sale of substantially all of its assets where the stockholders of the Company prior to the transaction do not, immediately thereafter, own at least 50% of both the equity and voting power of the surviving entity.</w:t>
      </w:r>
    </w:p>
    <w:p>
      <w:pPr>
        <w:spacing w:after="0" w:line="72" w:lineRule="exact"/>
        <w:rPr>
          <w:sz w:val="20"/>
          <w:szCs w:val="20"/>
          <w:color w:val="auto"/>
        </w:rPr>
      </w:pPr>
    </w:p>
    <w:p>
      <w:pPr>
        <w:jc w:val="both"/>
        <w:ind w:firstLine="212"/>
        <w:spacing w:after="0" w:line="282" w:lineRule="auto"/>
        <w:rPr>
          <w:sz w:val="20"/>
          <w:szCs w:val="20"/>
          <w:color w:val="auto"/>
        </w:rPr>
      </w:pPr>
      <w:r>
        <w:rPr>
          <w:rFonts w:ascii="Times New Roman" w:cs="Times New Roman" w:eastAsia="Times New Roman" w:hAnsi="Times New Roman"/>
          <w:sz w:val="18"/>
          <w:szCs w:val="18"/>
          <w:color w:val="auto"/>
        </w:rPr>
        <w:t>Additionally, Mr. Lipar is entitled to participate in such other employee benefit plans of the Company that may be in effect and available to Company executives of a similar status from time to time.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 for the 2027 Annual Meeting of Stockholders</w:t>
      </w:r>
    </w:p>
    <w:p>
      <w:pPr>
        <w:spacing w:after="0" w:line="121" w:lineRule="exact"/>
        <w:rPr>
          <w:sz w:val="20"/>
          <w:szCs w:val="20"/>
          <w:color w:val="auto"/>
        </w:rPr>
      </w:pPr>
    </w:p>
    <w:p>
      <w:pPr>
        <w:jc w:val="both"/>
        <w:ind w:firstLine="272"/>
        <w:spacing w:after="0" w:line="261" w:lineRule="auto"/>
        <w:rPr>
          <w:sz w:val="20"/>
          <w:szCs w:val="20"/>
          <w:color w:val="auto"/>
        </w:rPr>
      </w:pPr>
      <w:r>
        <w:rPr>
          <w:rFonts w:ascii="Times New Roman" w:cs="Times New Roman" w:eastAsia="Times New Roman" w:hAnsi="Times New Roman"/>
          <w:sz w:val="18"/>
          <w:szCs w:val="18"/>
          <w:color w:val="auto"/>
        </w:rPr>
        <w:t>Stockholder proposals intended for inclusion in next year’s proxy materials related to the 2027 annual meeting of stockholders (the “2027 Annual Meeting”) pursuant to SEC Rule 14a-8 must be received at the Company’s principal executive offices on or before November 13, 2026, or if the date of the 2027 Annual Meeting has been changed by more than 30 days from the date of the Annual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April 23), then the deadline is a reasonable time before the Company begins to print and send its proxy materials related to the 2027 Annual Meeting.</w:t>
      </w:r>
    </w:p>
    <w:p>
      <w:pPr>
        <w:spacing w:after="0" w:line="72"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Stockholder proposals not intended for inclusion in next year’s proxy materials, but which instead are sought to be presented at the 2027 Annual Meeting must be submitted in accordance with the specific procedures and requirements set forth in Article II, Sections 2.1 of our Bylaws, and any director nominations must be submitted in accordance with the specific procedures and requirements set forth in Article III, Section 3.1(a) of our Bylaws. These procedures require that any nominations or proposals must be delivered to, or mailed and received at, the Company’s principal executive offices no earlier than November 13, 2026 and no later than December 13, 2026, in order to be considered.</w:t>
      </w:r>
    </w:p>
    <w:p>
      <w:pPr>
        <w:spacing w:after="0" w:line="75" w:lineRule="exact"/>
        <w:rPr>
          <w:sz w:val="20"/>
          <w:szCs w:val="20"/>
          <w:color w:val="auto"/>
        </w:rPr>
      </w:pPr>
    </w:p>
    <w:p>
      <w:pPr>
        <w:jc w:val="both"/>
        <w:ind w:firstLine="183"/>
        <w:spacing w:after="0" w:line="224" w:lineRule="auto"/>
        <w:rPr>
          <w:sz w:val="20"/>
          <w:szCs w:val="20"/>
          <w:color w:val="auto"/>
        </w:rPr>
      </w:pPr>
      <w:r>
        <w:rPr>
          <w:rFonts w:ascii="Times New Roman" w:cs="Times New Roman" w:eastAsia="Times New Roman" w:hAnsi="Times New Roman"/>
          <w:sz w:val="18"/>
          <w:szCs w:val="18"/>
          <w:color w:val="auto"/>
        </w:rPr>
        <w:t>In the event the date of the 2027 Annual Meeting is more than 30 days before or after April 23, 2027, any nominations or proposals must be delivered to, or mailed and received at, the Company’s principal executive offices not earlier than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before the date of the 2027 Annual Meeting and not later than the later of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before the date of the 2027 Annual Meeting or the close of business on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the first public disclosure of the date of the 2027 Annual Meeting was made.</w:t>
      </w:r>
    </w:p>
    <w:p>
      <w:pPr>
        <w:spacing w:after="0" w:line="9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to satisfying the requirements under our Bylaws, to comply with the SEC’s universal proxy rules, stockholders who intend to solicit proxies in support of director nominees other than the Company’s nominees must provide notice that sets forth the information required by SEC Rule 14a-19 no later than February 22, 2027, provided, that if the date of the 2027 Annual Meeting has been changed by more than 30 days from the date of the Annual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April 23), then notice must be provided by the later of 60 days prior to the date of the 2027 Annual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day on which we first publicly announce the date of the 2027 Annual Meeting.</w:t>
      </w:r>
    </w:p>
    <w:p>
      <w:pPr>
        <w:spacing w:after="0" w:line="91" w:lineRule="exact"/>
        <w:rPr>
          <w:sz w:val="20"/>
          <w:szCs w:val="20"/>
          <w:color w:val="auto"/>
        </w:rPr>
      </w:pPr>
    </w:p>
    <w:p>
      <w:pPr>
        <w:jc w:val="both"/>
        <w:ind w:firstLine="205"/>
        <w:spacing w:after="0" w:line="266" w:lineRule="auto"/>
        <w:rPr>
          <w:sz w:val="20"/>
          <w:szCs w:val="20"/>
          <w:color w:val="auto"/>
        </w:rPr>
      </w:pPr>
      <w:r>
        <w:rPr>
          <w:rFonts w:ascii="Times New Roman" w:cs="Times New Roman" w:eastAsia="Times New Roman" w:hAnsi="Times New Roman"/>
          <w:sz w:val="18"/>
          <w:szCs w:val="18"/>
          <w:color w:val="auto"/>
        </w:rPr>
        <w:t>As allowed under the rules of the Exchange Act, the persons named in the proxy for the 2027 Annual Meeting may use discretionary authority to vote with respect to any proposal not included in the Company’s proxy materials that is presented by a stockholder in person at the 2027 Annual Meeting if the stockholder making the proposal has not given notice of the proposal to the Company by January 28,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jc w:val="both"/>
        <w:ind w:firstLine="189"/>
        <w:spacing w:after="0" w:line="254" w:lineRule="auto"/>
        <w:rPr>
          <w:sz w:val="20"/>
          <w:szCs w:val="20"/>
          <w:color w:val="auto"/>
        </w:rPr>
      </w:pPr>
      <w:r>
        <w:rPr>
          <w:rFonts w:ascii="Times New Roman" w:cs="Times New Roman" w:eastAsia="Times New Roman" w:hAnsi="Times New Roman"/>
          <w:sz w:val="18"/>
          <w:szCs w:val="18"/>
          <w:color w:val="auto"/>
        </w:rPr>
        <w:t>The SEC’s rules permit us to deliver a single Notice of Internet Availability of Proxy Materials or set of proxy materials to one address shared by two or more of our stockholders. This delivery method is referred to as “householding” and can result in significant cost savings. To take advantage of this opportunity, we have delivered only one Notice of Internet Availability of Proxy Materials or one set of proxy materials to multiple stockholders who share an address, unless we received contrary instructions from the impacted stockholders prior to the mailing date. We agree to deliver promptly, upon written or oral request, a separate copy of the Notice of Internet Availability of Proxy Materials or proxy materials, as requested, to any stockholder at the shared address to which a single copy of those documents was delivered. If you prefer to receive separate copies of the Notice of Internet Availability of Proxy Materials or proxy materials, you can request them from Broadridge Financial Solutions, Inc. at 1-866-540-7095, by mail (Attn: Broadridge Householding Department, 51 Mercedes Way, Edgewood, New York 11717), or by using the internet (www.proxyvote.com). You may also send a written request for Proxy Materials to Investor Relations, LGI Homes, Inc., 1450 Lake Robbins Drive, Suite 430, The Woodlands, Texas 77380.</w:t>
      </w:r>
    </w:p>
    <w:p>
      <w:pPr>
        <w:spacing w:after="0" w:line="80" w:lineRule="exact"/>
        <w:rPr>
          <w:sz w:val="20"/>
          <w:szCs w:val="20"/>
          <w:color w:val="auto"/>
        </w:rPr>
      </w:pPr>
    </w:p>
    <w:p>
      <w:pPr>
        <w:jc w:val="both"/>
        <w:ind w:right="20" w:firstLine="308"/>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Notices of Internet Availability of Proxy Materials or proxy materials for your household, please contact Broadridge Financial Solutions, Inc. at the above phone number.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198"/>
        <w:spacing w:after="0" w:line="266" w:lineRule="auto"/>
        <w:rPr>
          <w:sz w:val="20"/>
          <w:szCs w:val="20"/>
          <w:color w:val="auto"/>
        </w:rPr>
      </w:pPr>
      <w:r>
        <w:rPr>
          <w:rFonts w:ascii="Times New Roman" w:cs="Times New Roman" w:eastAsia="Times New Roman" w:hAnsi="Times New Roman"/>
          <w:sz w:val="18"/>
          <w:szCs w:val="18"/>
          <w:color w:val="auto"/>
        </w:rPr>
        <w:t>We do not know of any matters other than those stated above which are to be brought before the Annual Meeting. However, if any other matters should be properly presented for consideration and voting, it is the intention of the persons named in the proxy to vote on those matters in accordance with their judgment.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Obtaining Copies of the Company’s 2025 Annual Report</w:t>
      </w:r>
    </w:p>
    <w:p>
      <w:pPr>
        <w:spacing w:after="0" w:line="117" w:lineRule="exact"/>
        <w:rPr>
          <w:sz w:val="20"/>
          <w:szCs w:val="20"/>
          <w:color w:val="auto"/>
        </w:rPr>
      </w:pPr>
    </w:p>
    <w:p>
      <w:pPr>
        <w:jc w:val="both"/>
        <w:ind w:firstLine="240"/>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OF THE COMPANY MAY OBTAIN, WITHOUT CHARGE, A COPY OF THE COMPANY’S ANNUAL REPORT ON FORM 10-K FOR THE FISCAL YEAR ENDED DECEMBER 31, 2025 BY SENDING A WRITTEN REQUEST FOR THE 2025 ANNUAL REPORT TO INVESTOR RELATIONS, LGI HOMES, INC., 1450 LAKE ROBBINS DRIVE, SUITE 430, THE WOODLANDS, TEXAS 77380.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LGI Homes,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results reported in accordance with accounting principles generally accepted in the United States (“GAAP”), we have provided information in this Proxy Statement relating to adjusted gross margin.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Adjusted gross margin is a non-GAAP financial measure used by management as a supplemental measure in evaluating operating performance. We define adjusted gross margin as gross margin excluding inventory impairments, less capitalized interest and adjustments resulting from the application of purchase accounting included in the cost of sales. Our management believes adjusted gross margin is useful because it isolates the impact that capitalized interest, purchase accounting adjustments, and inventory impairment have on gross margin. However, because adjusted gross margin excludes capitalized interest, purchase accounting adjustments, and inventory impairment, which have real economic effects and could impact our results, the utility of adjusted gross margin as a measure of our operating performance may be limited. In addition, other companies may not calculate adjusted gross margin in the same manner that we do. Accordingly, adjusted gross margin should be considered only as a supplement to gross margin as a measure of our performance.</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gross margin to gross margin, which is the GAAP financial measure that our management believes to be most directly comparable (dollars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sales revenues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1,705,504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2,202,598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2,358,580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1,351,958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1,669,310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1,816,393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353,546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533,288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542,187</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interest charged to cost of sales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33,368,000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adjustments </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6,492,000</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409,265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579,393</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582,047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Gross margin % </w:t>
            </w:r>
            <w:r>
              <w:rPr>
                <w:rFonts w:ascii="Times New Roman" w:cs="Times New Roman" w:eastAsia="Times New Roman" w:hAnsi="Times New Roman"/>
                <w:sz w:val="23"/>
                <w:szCs w:val="23"/>
                <w:color w:val="auto"/>
                <w:vertAlign w:val="superscript"/>
              </w:rPr>
              <w:t>(2)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24.2 %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8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0" w:hanging="328"/>
        <w:spacing w:after="0" w:line="298"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result from the application of purchase accounting for acquisitions and represent the amount of the fair value step-up adjustments included in cost of sales for real estate inventory sold after the acquisition dates.</w:t>
      </w:r>
    </w:p>
    <w:p>
      <w:pPr>
        <w:spacing w:after="0" w:line="4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home sales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8923020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1271905</wp:posOffset>
            </wp:positionV>
            <wp:extent cx="5143500" cy="6711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71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9180195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1271905</wp:posOffset>
            </wp:positionV>
            <wp:extent cx="5143500" cy="6454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454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8468995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1271905</wp:posOffset>
            </wp:positionV>
            <wp:extent cx="5143500" cy="6257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257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5143500" cy="51606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143500" cy="5160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x"/>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2"/>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lvl w:ilvl="1">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2"/>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3"/>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6"/>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4"/>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5"/>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5"/>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2"/>
    </w:lvl>
  </w:abstractNum>
  <w:abstractNum w:abstractNumId="41">
    <w:nsid w:val="725A06FB"/>
    <w:multiLevelType w:val="hybridMultilevel"/>
    <w:lvl w:ilvl="0">
      <w:lvlJc w:val="left"/>
      <w:lvlText w:val="(%1)"/>
      <w:numFmt w:val="decimal"/>
      <w:start w:val="3"/>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44">
    <w:nsid w:val="7A6D8D3C"/>
    <w:multiLevelType w:val="hybridMultilevel"/>
    <w:lvl w:ilvl="0">
      <w:lvlJc w:val="left"/>
      <w:lvlText w:val="(%1)"/>
      <w:numFmt w:val="lowerRoman"/>
      <w:start w:val="3"/>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2026-03-13T15:55:51Z</dcterms:created>
  <dcterms:modified xsi:type="dcterms:W3CDTF">2026-03-13T15:55:51Z</dcterms:modified>
</cp:coreProperties>
</file>