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360045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720" w:hanging="701"/>
        <w:spacing w:after="0"/>
        <w:tabs>
          <w:tab w:leader="none" w:pos="7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0" w:lineRule="exact"/>
        <w:rPr>
          <w:sz w:val="24"/>
          <w:szCs w:val="24"/>
          <w:color w:val="auto"/>
        </w:rPr>
      </w:pPr>
    </w:p>
    <w:p>
      <w:pPr>
        <w:ind w:left="740" w:hanging="710"/>
        <w:spacing w:after="0"/>
        <w:tabs>
          <w:tab w:leader="none" w:pos="7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7" w:lineRule="exact"/>
        <w:rPr>
          <w:sz w:val="24"/>
          <w:szCs w:val="24"/>
          <w:color w:val="auto"/>
        </w:rPr>
      </w:pPr>
    </w:p>
    <w:tbl>
      <w:tblPr>
        <w:tblLayout w:type="fixed"/>
        <w:tblInd w:w="4040" w:type="dxa"/>
        <w:tblCellMar>
          <w:top w:w="0" w:type="dxa"/>
          <w:left w:w="0" w:type="dxa"/>
          <w:bottom w:w="0" w:type="dxa"/>
          <w:right w:w="0" w:type="dxa"/>
        </w:tblCellMar>
      </w:tblPr>
      <w:tr>
        <w:trPr>
          <w:trHeight w:val="14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600" w:type="dxa"/>
            <w:vAlign w:val="bottom"/>
          </w:tcPr>
          <w:p>
            <w:pPr>
              <w:spacing w:after="0"/>
              <w:rPr>
                <w:sz w:val="12"/>
                <w:szCs w:val="12"/>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258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Commission file number 001-36126</w:t>
            </w: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LGI HOMES,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5" w:lineRule="exact"/>
        <w:rPr>
          <w:sz w:val="24"/>
          <w:szCs w:val="24"/>
          <w:color w:val="auto"/>
        </w:rPr>
      </w:pPr>
    </w:p>
    <w:tbl>
      <w:tblPr>
        <w:tblLayout w:type="fixed"/>
        <w:tblInd w:w="60" w:type="dxa"/>
        <w:tblCellMar>
          <w:top w:w="0" w:type="dxa"/>
          <w:left w:w="0" w:type="dxa"/>
          <w:bottom w:w="0" w:type="dxa"/>
          <w:right w:w="0" w:type="dxa"/>
        </w:tblCellMar>
      </w:tblPr>
      <w:tr>
        <w:trPr>
          <w:trHeight w:val="163"/>
        </w:trPr>
        <w:tc>
          <w:tcPr>
            <w:tcW w:w="3840" w:type="dxa"/>
            <w:vAlign w:val="bottom"/>
          </w:tcPr>
          <w:p>
            <w:pPr>
              <w:jc w:val="center"/>
              <w:ind w:left="1699"/>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480" w:type="dxa"/>
            <w:vAlign w:val="bottom"/>
          </w:tcPr>
          <w:p>
            <w:pPr>
              <w:spacing w:after="0"/>
              <w:rPr>
                <w:sz w:val="14"/>
                <w:szCs w:val="14"/>
                <w:color w:val="auto"/>
              </w:rPr>
            </w:pPr>
          </w:p>
        </w:tc>
        <w:tc>
          <w:tcPr>
            <w:tcW w:w="3180" w:type="dxa"/>
            <w:vAlign w:val="bottom"/>
          </w:tcPr>
          <w:p>
            <w:pPr>
              <w:jc w:val="right"/>
              <w:ind w:right="1441"/>
              <w:spacing w:after="0"/>
              <w:rPr>
                <w:sz w:val="20"/>
                <w:szCs w:val="20"/>
                <w:color w:val="auto"/>
              </w:rPr>
            </w:pPr>
            <w:r>
              <w:rPr>
                <w:rFonts w:ascii="Times New Roman" w:cs="Times New Roman" w:eastAsia="Times New Roman" w:hAnsi="Times New Roman"/>
                <w:sz w:val="13"/>
                <w:szCs w:val="13"/>
                <w:b w:val="1"/>
                <w:bCs w:val="1"/>
                <w:color w:val="auto"/>
              </w:rPr>
              <w:t>46-3088013</w:t>
            </w:r>
          </w:p>
        </w:tc>
        <w:tc>
          <w:tcPr>
            <w:tcW w:w="0" w:type="dxa"/>
            <w:vAlign w:val="bottom"/>
          </w:tcPr>
          <w:p>
            <w:pPr>
              <w:spacing w:after="0"/>
              <w:rPr>
                <w:sz w:val="1"/>
                <w:szCs w:val="1"/>
                <w:color w:val="auto"/>
              </w:rPr>
            </w:pPr>
          </w:p>
        </w:tc>
      </w:tr>
      <w:tr>
        <w:trPr>
          <w:trHeight w:val="149"/>
        </w:trPr>
        <w:tc>
          <w:tcPr>
            <w:tcW w:w="7320" w:type="dxa"/>
            <w:vAlign w:val="bottom"/>
            <w:gridSpan w:val="2"/>
          </w:tcPr>
          <w:p>
            <w:pPr>
              <w:jc w:val="center"/>
              <w:ind w:right="1659"/>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180" w:type="dxa"/>
            <w:vAlign w:val="bottom"/>
          </w:tcPr>
          <w:p>
            <w:pPr>
              <w:jc w:val="center"/>
              <w:ind w:right="361"/>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0" w:type="dxa"/>
            <w:vAlign w:val="bottom"/>
          </w:tcPr>
          <w:p>
            <w:pPr>
              <w:spacing w:after="0"/>
              <w:rPr>
                <w:sz w:val="1"/>
                <w:szCs w:val="1"/>
                <w:color w:val="auto"/>
              </w:rPr>
            </w:pPr>
          </w:p>
        </w:tc>
      </w:tr>
      <w:tr>
        <w:trPr>
          <w:trHeight w:val="350"/>
        </w:trPr>
        <w:tc>
          <w:tcPr>
            <w:tcW w:w="384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1450 Lake Robbins Drive, Suite 430,</w:t>
            </w:r>
          </w:p>
        </w:tc>
        <w:tc>
          <w:tcPr>
            <w:tcW w:w="3480" w:type="dxa"/>
            <w:vAlign w:val="bottom"/>
          </w:tcPr>
          <w:p>
            <w:pPr>
              <w:jc w:val="right"/>
              <w:ind w:right="1979"/>
              <w:spacing w:after="0"/>
              <w:rPr>
                <w:sz w:val="20"/>
                <w:szCs w:val="20"/>
                <w:color w:val="auto"/>
              </w:rPr>
            </w:pPr>
            <w:r>
              <w:rPr>
                <w:rFonts w:ascii="Times New Roman" w:cs="Times New Roman" w:eastAsia="Times New Roman" w:hAnsi="Times New Roman"/>
                <w:sz w:val="13"/>
                <w:szCs w:val="13"/>
                <w:b w:val="1"/>
                <w:bCs w:val="1"/>
                <w:color w:val="auto"/>
              </w:rPr>
              <w:t>The Woodlands, Texas</w:t>
            </w:r>
          </w:p>
        </w:tc>
        <w:tc>
          <w:tcPr>
            <w:tcW w:w="3180" w:type="dxa"/>
            <w:vAlign w:val="bottom"/>
          </w:tcPr>
          <w:p>
            <w:pPr>
              <w:jc w:val="right"/>
              <w:ind w:right="1581"/>
              <w:spacing w:after="0"/>
              <w:rPr>
                <w:sz w:val="20"/>
                <w:szCs w:val="20"/>
                <w:color w:val="auto"/>
              </w:rPr>
            </w:pPr>
            <w:r>
              <w:rPr>
                <w:rFonts w:ascii="Times New Roman" w:cs="Times New Roman" w:eastAsia="Times New Roman" w:hAnsi="Times New Roman"/>
                <w:sz w:val="13"/>
                <w:szCs w:val="13"/>
                <w:b w:val="1"/>
                <w:bCs w:val="1"/>
                <w:color w:val="auto"/>
              </w:rPr>
              <w:t>77380</w:t>
            </w:r>
          </w:p>
        </w:tc>
        <w:tc>
          <w:tcPr>
            <w:tcW w:w="0" w:type="dxa"/>
            <w:vAlign w:val="bottom"/>
          </w:tcPr>
          <w:p>
            <w:pPr>
              <w:spacing w:after="0"/>
              <w:rPr>
                <w:sz w:val="1"/>
                <w:szCs w:val="1"/>
                <w:color w:val="auto"/>
              </w:rPr>
            </w:pPr>
          </w:p>
        </w:tc>
      </w:tr>
      <w:tr>
        <w:trPr>
          <w:trHeight w:val="149"/>
        </w:trPr>
        <w:tc>
          <w:tcPr>
            <w:tcW w:w="3840" w:type="dxa"/>
            <w:vAlign w:val="bottom"/>
          </w:tcPr>
          <w:p>
            <w:pPr>
              <w:jc w:val="center"/>
              <w:ind w:left="169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480" w:type="dxa"/>
            <w:vAlign w:val="bottom"/>
          </w:tcPr>
          <w:p>
            <w:pPr>
              <w:spacing w:after="0"/>
              <w:rPr>
                <w:sz w:val="12"/>
                <w:szCs w:val="12"/>
                <w:color w:val="auto"/>
              </w:rPr>
            </w:pPr>
          </w:p>
        </w:tc>
        <w:tc>
          <w:tcPr>
            <w:tcW w:w="3180" w:type="dxa"/>
            <w:vAlign w:val="bottom"/>
          </w:tcPr>
          <w:p>
            <w:pPr>
              <w:jc w:val="center"/>
              <w:ind w:right="361"/>
              <w:spacing w:after="0"/>
              <w:rPr>
                <w:sz w:val="20"/>
                <w:szCs w:val="20"/>
                <w:color w:val="auto"/>
              </w:rPr>
            </w:pPr>
            <w:r>
              <w:rPr>
                <w:rFonts w:ascii="Times New Roman" w:cs="Times New Roman" w:eastAsia="Times New Roman" w:hAnsi="Times New Roman"/>
                <w:sz w:val="11"/>
                <w:szCs w:val="11"/>
                <w:b w:val="1"/>
                <w:bCs w:val="1"/>
                <w:color w:val="auto"/>
                <w:w w:val="99"/>
              </w:rPr>
              <w:t>(Zip code)</w:t>
            </w:r>
          </w:p>
        </w:tc>
        <w:tc>
          <w:tcPr>
            <w:tcW w:w="0" w:type="dxa"/>
            <w:vAlign w:val="bottom"/>
          </w:tcPr>
          <w:p>
            <w:pPr>
              <w:spacing w:after="0"/>
              <w:rPr>
                <w:sz w:val="1"/>
                <w:szCs w:val="1"/>
                <w:color w:val="auto"/>
              </w:rPr>
            </w:pPr>
          </w:p>
        </w:tc>
      </w:tr>
      <w:tr>
        <w:trPr>
          <w:trHeight w:val="284"/>
        </w:trPr>
        <w:tc>
          <w:tcPr>
            <w:tcW w:w="3840" w:type="dxa"/>
            <w:vAlign w:val="bottom"/>
          </w:tcPr>
          <w:p>
            <w:pPr>
              <w:spacing w:after="0"/>
              <w:rPr>
                <w:sz w:val="24"/>
                <w:szCs w:val="24"/>
                <w:color w:val="auto"/>
              </w:rPr>
            </w:pPr>
          </w:p>
        </w:tc>
        <w:tc>
          <w:tcPr>
            <w:tcW w:w="3480" w:type="dxa"/>
            <w:vAlign w:val="bottom"/>
          </w:tcPr>
          <w:p>
            <w:pPr>
              <w:jc w:val="right"/>
              <w:ind w:right="1759"/>
              <w:spacing w:after="0"/>
              <w:rPr>
                <w:sz w:val="20"/>
                <w:szCs w:val="20"/>
                <w:color w:val="auto"/>
              </w:rPr>
            </w:pPr>
            <w:r>
              <w:rPr>
                <w:rFonts w:ascii="Times New Roman" w:cs="Times New Roman" w:eastAsia="Times New Roman" w:hAnsi="Times New Roman"/>
                <w:sz w:val="14"/>
                <w:szCs w:val="14"/>
                <w:b w:val="1"/>
                <w:bCs w:val="1"/>
                <w:color w:val="auto"/>
              </w:rPr>
              <w:t>(281) 362-8998</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40" w:type="dxa"/>
            <w:vAlign w:val="bottom"/>
          </w:tcPr>
          <w:p>
            <w:pPr>
              <w:spacing w:after="0"/>
              <w:rPr>
                <w:sz w:val="23"/>
                <w:szCs w:val="23"/>
                <w:color w:val="auto"/>
              </w:rPr>
            </w:pPr>
          </w:p>
        </w:tc>
        <w:tc>
          <w:tcPr>
            <w:tcW w:w="3480" w:type="dxa"/>
            <w:vAlign w:val="bottom"/>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b w:val="1"/>
                <w:bCs w:val="1"/>
                <w:color w:val="auto"/>
              </w:rPr>
              <w:t>s Telephone Number, Including Area Code)</w:t>
            </w:r>
          </w:p>
        </w:tc>
        <w:tc>
          <w:tcPr>
            <w:tcW w:w="3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80" w:type="dxa"/>
            <w:vAlign w:val="bottom"/>
            <w:tcBorders>
              <w:bottom w:val="single" w:sz="8" w:color="auto"/>
            </w:tcBorders>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38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jc w:val="center"/>
              <w:ind w:right="359"/>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180" w:type="dxa"/>
            <w:vAlign w:val="bottom"/>
          </w:tcPr>
          <w:p>
            <w:pPr>
              <w:jc w:val="center"/>
              <w:ind w:left="1021"/>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9"/>
        </w:trPr>
        <w:tc>
          <w:tcPr>
            <w:tcW w:w="3840" w:type="dxa"/>
            <w:vAlign w:val="bottom"/>
          </w:tcPr>
          <w:p>
            <w:pPr>
              <w:jc w:val="center"/>
              <w:ind w:right="359"/>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3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LGIH</w:t>
            </w:r>
          </w:p>
        </w:tc>
        <w:tc>
          <w:tcPr>
            <w:tcW w:w="3180" w:type="dxa"/>
            <w:vAlign w:val="bottom"/>
          </w:tcPr>
          <w:p>
            <w:pPr>
              <w:jc w:val="center"/>
              <w:ind w:left="1001"/>
              <w:spacing w:after="0"/>
              <w:rPr>
                <w:sz w:val="20"/>
                <w:szCs w:val="20"/>
                <w:color w:val="auto"/>
              </w:rPr>
            </w:pPr>
            <w:r>
              <w:rPr>
                <w:rFonts w:ascii="Times New Roman" w:cs="Times New Roman" w:eastAsia="Times New Roman" w:hAnsi="Times New Roman"/>
                <w:sz w:val="11"/>
                <w:szCs w:val="11"/>
                <w:b w:val="1"/>
                <w:bCs w:val="1"/>
                <w:color w:val="auto"/>
              </w:rPr>
              <w:t>NASDAQ Global Select Market</w:t>
            </w:r>
          </w:p>
        </w:tc>
        <w:tc>
          <w:tcPr>
            <w:tcW w:w="0" w:type="dxa"/>
            <w:vAlign w:val="bottom"/>
          </w:tcPr>
          <w:p>
            <w:pPr>
              <w:spacing w:after="0"/>
              <w:rPr>
                <w:sz w:val="1"/>
                <w:szCs w:val="1"/>
                <w:color w:val="auto"/>
              </w:rPr>
            </w:pPr>
          </w:p>
        </w:tc>
      </w:tr>
    </w:tbl>
    <w:p>
      <w:pPr>
        <w:spacing w:after="0" w:line="242"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jc w:val="center"/>
        <w:spacing w:after="0" w:line="161" w:lineRule="exact"/>
        <w:tabs>
          <w:tab w:leader="none" w:pos="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spacing w:after="0" w:line="161"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filer,”</w:t>
            </w:r>
          </w:p>
        </w:tc>
        <w:tc>
          <w:tcPr>
            <w:tcW w:w="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“accelerated</w:t>
            </w: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filer,”</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“smaller</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reporting</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and</w:t>
            </w:r>
          </w:p>
        </w:tc>
        <w:tc>
          <w:tcPr>
            <w:tcW w:w="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“emerging</w:t>
            </w: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growth</w:t>
            </w:r>
          </w:p>
        </w:tc>
        <w:tc>
          <w:tcPr>
            <w:tcW w:w="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Rule</w:t>
            </w: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12b-2</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of</w:t>
            </w: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the</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Exchange</w:t>
            </w: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0"/>
              </w:rPr>
              <w:t>Act.</w:t>
            </w:r>
          </w:p>
        </w:tc>
      </w:tr>
      <w:tr>
        <w:trPr>
          <w:trHeight w:val="180"/>
        </w:trPr>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2"/>
          </w:tcPr>
          <w:p>
            <w:pPr>
              <w:jc w:val="center"/>
              <w:ind w:right="11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auto"/>
                <w:w w:val="98"/>
              </w:rPr>
              <w:t>Accelerated filer</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2"/>
          </w:tcPr>
          <w:p>
            <w:pPr>
              <w:jc w:val="center"/>
              <w:ind w:right="136"/>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3"/>
          </w:tcPr>
          <w:p>
            <w:pPr>
              <w:jc w:val="center"/>
              <w:ind w:right="136"/>
              <w:spacing w:after="0"/>
              <w:rPr>
                <w:sz w:val="20"/>
                <w:szCs w:val="20"/>
                <w:color w:val="auto"/>
              </w:rPr>
            </w:pPr>
            <w:r>
              <w:rPr>
                <w:rFonts w:ascii="Times New Roman" w:cs="Times New Roman" w:eastAsia="Times New Roman" w:hAnsi="Times New Roman"/>
                <w:sz w:val="13"/>
                <w:szCs w:val="13"/>
                <w:color w:val="auto"/>
                <w:w w:val="96"/>
              </w:rPr>
              <w:t>Smaller reporting company</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5"/>
                <w:szCs w:val="15"/>
                <w:color w:val="auto"/>
              </w:rPr>
            </w:pPr>
          </w:p>
        </w:tc>
      </w:tr>
      <w:tr>
        <w:trPr>
          <w:trHeight w:val="237"/>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gridSpan w:val="3"/>
          </w:tcPr>
          <w:p>
            <w:pPr>
              <w:jc w:val="center"/>
              <w:ind w:right="136"/>
              <w:spacing w:after="0"/>
              <w:rPr>
                <w:sz w:val="20"/>
                <w:szCs w:val="20"/>
                <w:color w:val="auto"/>
              </w:rPr>
            </w:pPr>
            <w:r>
              <w:rPr>
                <w:rFonts w:ascii="Times New Roman" w:cs="Times New Roman" w:eastAsia="Times New Roman" w:hAnsi="Times New Roman"/>
                <w:sz w:val="13"/>
                <w:szCs w:val="13"/>
                <w:color w:val="auto"/>
                <w:w w:val="96"/>
              </w:rPr>
              <w:t>Emerging growth company</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20"/>
                <w:szCs w:val="20"/>
                <w:color w:val="auto"/>
              </w:rPr>
            </w:pPr>
          </w:p>
        </w:tc>
      </w:tr>
    </w:tbl>
    <w:p>
      <w:pPr>
        <w:spacing w:after="0" w:line="201"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99"/>
        <w:spacing w:after="0" w:line="28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As of April 23, 2026, there were 23,232,279 shares of the registrant’s common stock, par value $0.01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5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8"/>
        </w:trPr>
        <w:tc>
          <w:tcPr>
            <w:tcW w:w="20" w:type="dxa"/>
            <w:vAlign w:val="bottom"/>
          </w:tcPr>
          <w:p>
            <w:pPr>
              <w:spacing w:after="0"/>
              <w:rPr>
                <w:sz w:val="14"/>
                <w:szCs w:val="14"/>
                <w:color w:val="auto"/>
              </w:rPr>
            </w:pPr>
          </w:p>
        </w:tc>
        <w:tc>
          <w:tcPr>
            <w:tcW w:w="86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PART I - FINANCIAL INFORMATION</w:t>
            </w: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560" w:type="dxa"/>
            <w:vAlign w:val="bottom"/>
            <w:gridSpan w:val="3"/>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LGI Homes, Inc. Consolidated Financial Statements (Unaudited)</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Balance Sheets as of March 31, 2026 and December 31, 2025</w:t>
            </w: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9"/>
              </w:rPr>
              <w:t>Consolidated Statements of Operations for the Three Months Ended March 31, 2026 and 2025</w:t>
            </w:r>
          </w:p>
        </w:tc>
        <w:tc>
          <w:tcPr>
            <w:tcW w:w="2320" w:type="dxa"/>
            <w:vAlign w:val="bottom"/>
          </w:tcPr>
          <w:p>
            <w:pPr>
              <w:spacing w:after="0"/>
              <w:rPr>
                <w:sz w:val="13"/>
                <w:szCs w:val="13"/>
                <w:color w:val="auto"/>
              </w:rPr>
            </w:pP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Consolidated Statements of Equity for the Three Months Ended March 31, 2026 and 2025</w:t>
            </w:r>
          </w:p>
        </w:tc>
        <w:tc>
          <w:tcPr>
            <w:tcW w:w="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 for the Three Months Ended March 31, 2026 and 2025</w:t>
            </w:r>
          </w:p>
        </w:tc>
        <w:tc>
          <w:tcPr>
            <w:tcW w:w="2320" w:type="dxa"/>
            <w:vAlign w:val="bottom"/>
          </w:tcPr>
          <w:p>
            <w:pPr>
              <w:spacing w:after="0"/>
              <w:rPr>
                <w:sz w:val="13"/>
                <w:szCs w:val="13"/>
                <w:color w:val="auto"/>
              </w:rPr>
            </w:pP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left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9"/>
              </w:rPr>
              <w:t>Notes to the Consolidated Financial Statements</w:t>
            </w:r>
          </w:p>
        </w:tc>
        <w:tc>
          <w:tcPr>
            <w:tcW w:w="2660" w:type="dxa"/>
            <w:vAlign w:val="bottom"/>
            <w:gridSpan w:val="5"/>
          </w:tcPr>
          <w:p>
            <w:pPr>
              <w:spacing w:after="0"/>
              <w:rPr>
                <w:sz w:val="13"/>
                <w:szCs w:val="13"/>
                <w:color w:val="auto"/>
              </w:rPr>
            </w:pPr>
          </w:p>
        </w:tc>
        <w:tc>
          <w:tcPr>
            <w:tcW w:w="2320" w:type="dxa"/>
            <w:vAlign w:val="bottom"/>
          </w:tcPr>
          <w:p>
            <w:pPr>
              <w:spacing w:after="0"/>
              <w:rPr>
                <w:sz w:val="13"/>
                <w:szCs w:val="13"/>
                <w:color w:val="auto"/>
              </w:rPr>
            </w:pP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8</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560" w:type="dxa"/>
            <w:vAlign w:val="bottom"/>
            <w:gridSpan w:val="3"/>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560" w:type="dxa"/>
            <w:vAlign w:val="bottom"/>
            <w:gridSpan w:val="3"/>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560" w:type="dxa"/>
            <w:vAlign w:val="bottom"/>
            <w:gridSpan w:val="3"/>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8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86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PART II - OTHER INFORMATION</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9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1A.</w:t>
            </w: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540" w:type="dxa"/>
            <w:vAlign w:val="bottom"/>
            <w:gridSpan w:val="9"/>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10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560" w:type="dxa"/>
            <w:vAlign w:val="bottom"/>
            <w:gridSpan w:val="3"/>
          </w:tcPr>
          <w:p>
            <w:pPr>
              <w:spacing w:after="0"/>
              <w:rPr>
                <w:sz w:val="13"/>
                <w:szCs w:val="13"/>
                <w:color w:val="auto"/>
              </w:rPr>
            </w:pPr>
          </w:p>
        </w:tc>
        <w:tc>
          <w:tcPr>
            <w:tcW w:w="76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Exhibits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24"/>
                <w:szCs w:val="24"/>
                <w:color w:val="auto"/>
              </w:rPr>
            </w:pPr>
          </w:p>
        </w:tc>
      </w:tr>
      <w:tr>
        <w:trPr>
          <w:trHeight w:val="881"/>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1"/>
          </w:tcPr>
          <w:p>
            <w:pPr>
              <w:jc w:val="right"/>
              <w:ind w:right="340"/>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LGI HOMES,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61,247</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inventory</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3,540,731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3,520,563</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Pre-acquisition costs and deposits</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28,950</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107,145</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154,948</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assets, net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w:t>
            </w:r>
          </w:p>
        </w:tc>
        <w:tc>
          <w:tcPr>
            <w:tcW w:w="0" w:type="dxa"/>
            <w:vAlign w:val="bottom"/>
          </w:tcPr>
          <w:p>
            <w:pPr>
              <w:spacing w:after="0"/>
              <w:rPr>
                <w:sz w:val="1"/>
                <w:szCs w:val="1"/>
                <w:color w:val="auto"/>
              </w:rPr>
            </w:pPr>
          </w:p>
        </w:tc>
      </w:tr>
      <w:tr>
        <w:trPr>
          <w:trHeight w:val="171"/>
        </w:trPr>
        <w:tc>
          <w:tcPr>
            <w:tcW w:w="7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4,010,165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3,927,242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157,971</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Notes payable</w:t>
            </w: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1,656,803</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1,907,751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1,830,953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7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Common stock, par value $0.01, 250,000,000 shares authorized, 27,888,871 shares issued and 23,232,279 shares</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outstanding as of March 31, 2026 and 27,789,678 shares issued and 23,133,086 shares outstanding as of December 31,</w:t>
            </w:r>
          </w:p>
        </w:tc>
        <w:tc>
          <w:tcPr>
            <w:tcW w:w="3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347,308</w:t>
            </w: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2,158,339</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Treasury stock, at cost, 4,656,592 shares as of March 31, 2026 and December 31, 2025</w:t>
            </w: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(409,635)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(409,635)</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equity</w:t>
            </w: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2,102,414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2,096,289</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4,010,165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3,927,242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LGI HOMES,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71"/>
        </w:trPr>
        <w:tc>
          <w:tcPr>
            <w:tcW w:w="76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sales revenues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351,420</w:t>
            </w:r>
          </w:p>
        </w:tc>
      </w:tr>
      <w:tr>
        <w:trPr>
          <w:trHeight w:val="192"/>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277,707</w:t>
            </w: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expenses</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42,342</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27,861</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w:t>
            </w:r>
          </w:p>
        </w:tc>
      </w:tr>
      <w:tr>
        <w:trPr>
          <w:trHeight w:val="17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r>
      <w:tr>
        <w:trPr>
          <w:trHeight w:val="17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income taxes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r>
      <w:tr>
        <w:trPr>
          <w:trHeight w:val="17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2"/>
        </w:trPr>
        <w:tc>
          <w:tcPr>
            <w:tcW w:w="7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Earnings per share:</w:t>
            </w: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0"/>
        </w:trPr>
        <w:tc>
          <w:tcPr>
            <w:tcW w:w="7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5"/>
                <w:szCs w:val="15"/>
                <w:color w:val="auto"/>
              </w:rPr>
            </w:pP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0"/>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12"/>
        </w:trPr>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7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23,149,912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23,396,470</w:t>
            </w:r>
          </w:p>
        </w:tc>
      </w:tr>
      <w:tr>
        <w:trPr>
          <w:trHeight w:val="180"/>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23,219,224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LGI HOMES,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5"/>
                <w:szCs w:val="15"/>
                <w:color w:val="auto"/>
              </w:rPr>
            </w:pPr>
          </w:p>
        </w:tc>
        <w:tc>
          <w:tcPr>
            <w:tcW w:w="11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27,789,678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347,307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2,158,339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(409,635)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2,096,289</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Restricted stock units granted for accrued annual</w:t>
            </w: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bonuses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expense for equity awards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issued under employee incentive plans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27,888,871</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351,272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2,160,499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(409,635)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2,102,414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560" w:type="dxa"/>
            <w:vAlign w:val="bottom"/>
          </w:tcPr>
          <w:p>
            <w:pPr>
              <w:spacing w:after="0"/>
              <w:rPr>
                <w:sz w:val="24"/>
                <w:szCs w:val="24"/>
                <w:color w:val="auto"/>
              </w:rPr>
            </w:pPr>
          </w:p>
        </w:tc>
        <w:tc>
          <w:tcPr>
            <w:tcW w:w="236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80" w:type="dxa"/>
            <w:vAlign w:val="bottom"/>
          </w:tcPr>
          <w:p>
            <w:pPr>
              <w:spacing w:after="0"/>
              <w:rPr>
                <w:sz w:val="24"/>
                <w:szCs w:val="24"/>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60" w:type="dxa"/>
            <w:vAlign w:val="bottom"/>
          </w:tcPr>
          <w:p>
            <w:pPr>
              <w:spacing w:after="0"/>
              <w:rPr>
                <w:sz w:val="6"/>
                <w:szCs w:val="6"/>
                <w:color w:val="auto"/>
              </w:rPr>
            </w:pP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6"/>
                <w:szCs w:val="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6"/>
                <w:szCs w:val="6"/>
                <w:color w:val="auto"/>
              </w:rPr>
            </w:pPr>
          </w:p>
        </w:tc>
        <w:tc>
          <w:tcPr>
            <w:tcW w:w="11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27,644,413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337,161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2,085,787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(385,996)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2,037,228</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Restricted stock units granted for accrued annual</w:t>
            </w: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bonuses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repurchase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expense for equity awards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180"/>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issued under employee incentive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27,693,526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341,515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2,089,781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(389,047)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2,042,526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LGI HOMES,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71"/>
        </w:trPr>
        <w:tc>
          <w:tcPr>
            <w:tcW w:w="7900" w:type="dxa"/>
            <w:vAlign w:val="bottom"/>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Pr>
          <w:p>
            <w:pPr>
              <w:spacing w:after="0"/>
              <w:rPr>
                <w:sz w:val="15"/>
                <w:szCs w:val="15"/>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income of unconsolidated entities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earnings from unconsolidated entities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expense for equity awards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impairment</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w:t>
            </w:r>
          </w:p>
        </w:tc>
      </w:tr>
      <w:tr>
        <w:trPr>
          <w:trHeight w:val="180"/>
        </w:trPr>
        <w:tc>
          <w:tcPr>
            <w:tcW w:w="7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Real estate inventory</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(186,583)</w:t>
            </w:r>
          </w:p>
        </w:tc>
      </w:tr>
      <w:tr>
        <w:trPr>
          <w:trHeight w:val="180"/>
        </w:trPr>
        <w:tc>
          <w:tcPr>
            <w:tcW w:w="7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Pre-acquisition costs and deposits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w:t>
            </w:r>
          </w:p>
        </w:tc>
      </w:tr>
      <w:tr>
        <w:trPr>
          <w:trHeight w:val="180"/>
        </w:trPr>
        <w:tc>
          <w:tcPr>
            <w:tcW w:w="7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43,763</w:t>
            </w:r>
          </w:p>
        </w:tc>
      </w:tr>
      <w:tr>
        <w:trPr>
          <w:trHeight w:val="180"/>
        </w:trPr>
        <w:tc>
          <w:tcPr>
            <w:tcW w:w="7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18,591</w:t>
            </w:r>
          </w:p>
        </w:tc>
      </w:tr>
      <w:tr>
        <w:trPr>
          <w:trHeight w:val="180"/>
        </w:trPr>
        <w:tc>
          <w:tcPr>
            <w:tcW w:w="7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(27,910)</w:t>
            </w:r>
          </w:p>
        </w:tc>
      </w:tr>
      <w:tr>
        <w:trPr>
          <w:trHeight w:val="171"/>
        </w:trPr>
        <w:tc>
          <w:tcPr>
            <w:tcW w:w="79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(55,549)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(127,148)</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entities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 of capital from unconsolidated entities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r>
      <w:tr>
        <w:trPr>
          <w:trHeight w:val="171"/>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notes payable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116,229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172,467</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on financing arrangements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issuance costs</w:t>
            </w:r>
          </w:p>
        </w:tc>
        <w:tc>
          <w:tcPr>
            <w:tcW w:w="10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80"/>
        </w:trPr>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stock, net of offering expenses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8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repurchase</w:t>
            </w:r>
          </w:p>
        </w:tc>
        <w:tc>
          <w:tcPr>
            <w:tcW w:w="10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w:t>
            </w:r>
          </w:p>
        </w:tc>
      </w:tr>
      <w:tr>
        <w:trPr>
          <w:trHeight w:val="171"/>
        </w:trPr>
        <w:tc>
          <w:tcPr>
            <w:tcW w:w="7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48,719</w:t>
            </w:r>
          </w:p>
        </w:tc>
        <w:tc>
          <w:tcPr>
            <w:tcW w:w="8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131,796</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61,247</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53,197</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60,860</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LGI HOMES,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p>
      <w:pPr>
        <w:ind w:left="280" w:hanging="275"/>
        <w:spacing w:after="0"/>
        <w:tabs>
          <w:tab w:leader="none" w:pos="28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Organization and Description of the Business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LGI Homes, Inc., a Delaware corporation (the “Company”, “we,” “us,” or “our”), is headquartered in The Woodlands, Texas. We engage in the development of communities and the design, construction and sale of new homes in markets in Texas, Arizona, Florida, Georgia, New Mexico, Colorado, North Carolina, South Carolina, Washington, Tennessee, Minnesota, Oklahoma, Alabama, California, Oregon, Nevada, West Virginia, Virginia, Pennsylvania, Maryland and Utah.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unaudited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footnotes required by GAAP for complete financial statements. These financial statements should be read in conjunction with the consolidated financial statements included in our Annual Report on Form 10-K for the fiscal year ended December 31, 2025. In the opinion of management, the accompanying unaudited consolidated financial statements include all adjustments that are of a normal recurring nature and necessary for the fair presentation of our results for the interim periods presented. Results for interim periods are not necessarily indicative of results to be expected for the full year.</w:t>
      </w:r>
    </w:p>
    <w:p>
      <w:pPr>
        <w:spacing w:after="0" w:line="5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accompanying unaudited financial statements as of March 31, 2026, and for the three months ended March 31, 2026 and 2025, include the accounts of the Company and its subsidiaries. All intercompany balances and transactions have been eliminated in consolidation.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and these differences could have a significant impact on the financial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November 2024, the Financial Accounting Standards Board (the “FASB”) issued Accounting Standards Update (“ASU”) 2024-03, “Income Statement-Reporting Comprehensive Income-Expense Disaggregation Disclosures (Subtopic 220-40): Disaggregation of Income Statement Expenses” (“ASU 2024-03”), which requires disclosure of certain costs and expenses on an interim and annual basis in the notes to the financial statements. The amendments in this update are to be applied on a prospective basis, with the option for retrospective application. The guidance is effective for annual reporting periods beginning after December 15, 2026, and interim periods within annual reporting periods beginning after December 15, 2027. Early adoption is permitted. We are currently evaluating the impact that this standard will have on our disclosures.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REAL ESTATE INVENTORY</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5"/>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Our real estate inventory consists of the following (in thousands):</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96"/>
        </w:trPr>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7"/>
                <w:szCs w:val="17"/>
                <w:color w:val="auto"/>
              </w:rPr>
            </w:pPr>
          </w:p>
        </w:tc>
        <w:tc>
          <w:tcPr>
            <w:tcW w:w="14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5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land under development and finished lots</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2,585,692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2,601,578</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Information centers</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61,940</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Homes in progress</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261,850</w:t>
            </w:r>
          </w:p>
        </w:tc>
      </w:tr>
      <w:tr>
        <w:trPr>
          <w:trHeight w:val="18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Completed homes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565,296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587,219</w:t>
            </w:r>
          </w:p>
        </w:tc>
      </w:tr>
      <w:tr>
        <w:trPr>
          <w:trHeight w:val="171"/>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owned inventory</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3,536,507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3,512,587</w:t>
            </w:r>
          </w:p>
        </w:tc>
      </w:tr>
      <w:tr>
        <w:trPr>
          <w:trHeight w:val="18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Real estate not owned</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7,976</w:t>
            </w:r>
          </w:p>
        </w:tc>
      </w:tr>
      <w:tr>
        <w:trPr>
          <w:trHeight w:val="196"/>
        </w:trPr>
        <w:tc>
          <w:tcPr>
            <w:tcW w:w="76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real estate inventory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3,540,731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3,520,563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real estate not owned relates to land banking financing arrangements with a third-party land banker to repurchase land that we sold to the land banker as a method of acquiring finished lots in staged takedowns, while limiting risk and minimizing the use of funds from our available cash or other financing sources.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build and lease a number of single-family homes in select, existing communities. During the three months ended March 31, 2026 and 2025, we transferred $25.4 million and $13.4 million, respectively, of home assets from real estate inventory to rental properties within property and equipment, net. We are lessors of the homes representing these home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  ACCRUED EXPENSES AND OTHER LIABILITIES</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5"/>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Accrued and other liabilities consist of the following (in thousands):</w:t>
            </w: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96"/>
        </w:trPr>
        <w:tc>
          <w:tcPr>
            <w:tcW w:w="76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6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inventory development and construction payable</w:t>
            </w:r>
          </w:p>
        </w:tc>
        <w:tc>
          <w:tcPr>
            <w:tcW w:w="12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payable</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banking financing arrangements</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7,976</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bonuses and benefits</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14,677</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14,223</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related obligations</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11,641</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deposits</w:t>
            </w: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17,163</w:t>
            </w:r>
          </w:p>
        </w:tc>
      </w:tr>
      <w:tr>
        <w:trPr>
          <w:trHeight w:val="196"/>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accrued expenses and other liabilities</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159,725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157,971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Land Banking Financing Arrangements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have land banking financing arrangements with a third-party land banker to repurchase land that we sold to the land banker as a method of acquiring finished lots in staged takedowns. Principal payments on these financing arrangements will generally coincide with the repurchase of lot takedowns from the land banker. We expect to complete the repurchase of all lots via takedowns associated with these transactions over the course of less than a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 Related Obligations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own lots in certain communities in Florida and Texas that have Community Development Districts or similar utility and infrastructure development special assessment programs that allocate a fixed amount of debt service associated with development activities to each lot. This obligation for infrastructure development is attached to the land, which is typically payable over a 30-year period and is ultimately assumed by the homebuyer when home sales are closed. The obligations assumed by the homebuyer represent a non-cash cost of the lots.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 Warranty Reserve</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generally provide homebuyers with a one-year warranty on the house and a limited warranty for major defects in structural elements, such as framing components and foundation systems, typically ranging from six to ten years depending on the applicable state.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Changes to our warranty accrual are as follows (in thousands):</w:t>
            </w:r>
          </w:p>
        </w:tc>
        <w:tc>
          <w:tcPr>
            <w:tcW w:w="2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reserves, beginning of period</w:t>
            </w:r>
          </w:p>
        </w:tc>
        <w:tc>
          <w:tcPr>
            <w:tcW w:w="29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provision</w:t>
            </w:r>
          </w:p>
        </w:tc>
        <w:tc>
          <w:tcPr>
            <w:tcW w:w="2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expenditures</w:t>
            </w:r>
          </w:p>
        </w:tc>
        <w:tc>
          <w:tcPr>
            <w:tcW w:w="29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Warranty reserves, end of period</w:t>
            </w:r>
          </w:p>
        </w:tc>
        <w:tc>
          <w:tcPr>
            <w:tcW w:w="294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14,300</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40" w:type="dxa"/>
            <w:vAlign w:val="bottom"/>
            <w:vMerge w:val="restart"/>
          </w:tcPr>
          <w:p>
            <w:pPr>
              <w:jc w:val="right"/>
              <w:ind w:right="1929"/>
              <w:spacing w:after="0"/>
              <w:rPr>
                <w:sz w:val="20"/>
                <w:szCs w:val="20"/>
                <w:color w:val="auto"/>
              </w:rPr>
            </w:pPr>
            <w:r>
              <w:rPr>
                <w:rFonts w:ascii="Times New Roman" w:cs="Times New Roman" w:eastAsia="Times New Roman" w:hAnsi="Times New Roman"/>
                <w:sz w:val="14"/>
                <w:szCs w:val="14"/>
                <w:color w:val="auto"/>
              </w:rPr>
              <w:t>9</w:t>
            </w: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7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4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hanging="275"/>
        <w:spacing w:after="0"/>
        <w:tabs>
          <w:tab w:leader="none" w:pos="2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PAYABLE</w:t>
      </w:r>
    </w:p>
    <w:p>
      <w:pPr>
        <w:spacing w:after="0" w:line="93"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Revolving Credit Agreement</w:t>
      </w:r>
    </w:p>
    <w:p>
      <w:pPr>
        <w:spacing w:after="0" w:line="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We are a party to the Fifth Amended and Restated Credit Agreement, dated as of April 28, 2021, with several financial institutions, and Wells Fargo Bank, National Association, as administrative agent (as amended to date, the “Credit Agreement”). The Credit Agreement provides for a $1.1825 billion revolving credit facility, which can be increased at the request of the Company by up to $95.0 million, subject to the terms and conditions of the Credit Agreement. The Credit Agreement matures on April 28, 2029 with respect to $972.5 million, or 82.2%, of the $1.1825 billion of commitments thereunder and on April 28, 2028 with respect to 17.8% of the commitments thereunder.</w:t>
      </w:r>
    </w:p>
    <w:p>
      <w:pPr>
        <w:spacing w:after="0" w:line="5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Before each anniversary of the Credit Agreement, we may request a one-year extension of its maturity date. The Credit Agreement is guaranteed by, among others, each of our subsidiaries that have gross assets of at least $0.5 million, other than subsidiaries whose sole purpose is to own and operate single-family rental homes.</w:t>
      </w:r>
    </w:p>
    <w:p>
      <w:pPr>
        <w:spacing w:after="0" w:line="40"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The borrowings and letters of credit outstanding under the Credit Agreement, together with the outstanding principal balance of our 8.750% Senior Notes due 2028 (the “2028 Senior Notes”), our 4.000% Senior Notes due 2029 (the “2029 Senior Notes”) and our 7.000% Senior Notes due 2032 (the “2032 Senior Notes”), may not exceed the borrowing base under the Credit Agreement. The borrowing base primarily consists of a percentage of commercial land, land held for development, lots under development and finished lots held by the Company and its subsidiaries that guarantee the obligations under the Credit Agreement. As of March 31, 2026, the borrowing base under the Credit Agreement was $2.0 billion, of which the maximum available to borrow was $2.0 billion. As of March 31, 2026, borrowings under the Credit Agreement and the outstanding principal amount of the 2028 Senior Notes, the 2029 Senior Notes and the 2032 Senior Notes totaled approximately $1.7 billion, $19.3 million of letters of credit were outstanding and $294.2 million was available to borrow under the Credit Agreement.</w:t>
      </w:r>
    </w:p>
    <w:p>
      <w:pPr>
        <w:spacing w:after="0" w:line="7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Borrowings under the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March 31, 2026, the Applicable Margin was 1.85%, and SOFR was 3.67%, subject to the 0.50% SOFR floor as included in the Credit Agreement.</w:t>
      </w:r>
    </w:p>
    <w:p>
      <w:pPr>
        <w:spacing w:after="0" w:line="5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Credit Agreement contains various financial covenants, including a minimum tangible net worth, a maximum leverage ratio, a minimum liquidity amount and a minimum EBITDA to interest expense ratio. The Credit Agreement contains various covenants that, among other restrictions, (i) limit the amount of our additional debt and our ability to make certain investments and (ii) restrict the repurchase of shares and payment of dividends through December 31, 2026. At March 31, 2026, we were in compliance with all of the covenants contained in the Credit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LGI Living Loan Agreement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23, 2025, the Company’s indirect,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w:t>
      </w:r>
    </w:p>
    <w:p>
      <w:pPr>
        <w:spacing w:after="0" w:line="5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 of March 31,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0"/>
        <w:spacing w:after="0" w:line="371" w:lineRule="auto"/>
        <w:rPr>
          <w:sz w:val="20"/>
          <w:szCs w:val="20"/>
          <w:color w:val="auto"/>
        </w:rPr>
      </w:pPr>
      <w:r>
        <w:rPr>
          <w:rFonts w:ascii="Times New Roman" w:cs="Times New Roman" w:eastAsia="Times New Roman" w:hAnsi="Times New Roman"/>
          <w:sz w:val="14"/>
          <w:szCs w:val="14"/>
          <w:color w:val="auto"/>
        </w:rPr>
        <w:t xml:space="preserve">to accelerate the maturity of the loan and exercise other rights and remedies. At March 31, 2026, we were in compliance with all of the covenants contained in the LGI Living Loan Agreement. </w:t>
      </w:r>
      <w:r>
        <w:rPr>
          <w:rFonts w:ascii="Times New Roman" w:cs="Times New Roman" w:eastAsia="Times New Roman" w:hAnsi="Times New Roman"/>
          <w:sz w:val="14"/>
          <w:szCs w:val="14"/>
          <w:b w:val="1"/>
          <w:bCs w:val="1"/>
          <w:color w:val="auto"/>
        </w:rPr>
        <w:t>Senior Notes Offering</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spacing w:after="0" w:line="6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spacing w:after="0" w:line="5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Notes payable consist of the following (in thousands):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7"/>
                <w:szCs w:val="17"/>
                <w:color w:val="auto"/>
              </w:rPr>
            </w:pPr>
          </w:p>
        </w:tc>
        <w:tc>
          <w:tcPr>
            <w:tcW w:w="14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80" w:type="dxa"/>
            <w:vAlign w:val="bottom"/>
            <w:tcBorders>
              <w:bottom w:val="single" w:sz="8" w:color="CCEEFF"/>
            </w:tcBorders>
          </w:tcPr>
          <w:p>
            <w:pPr>
              <w:spacing w:after="0"/>
              <w:rPr>
                <w:sz w:val="14"/>
                <w:szCs w:val="14"/>
                <w:color w:val="auto"/>
              </w:rPr>
            </w:pPr>
          </w:p>
        </w:tc>
        <w:tc>
          <w:tcPr>
            <w:tcW w:w="72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18"/>
        </w:trPr>
        <w:tc>
          <w:tcPr>
            <w:tcW w:w="768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Notes payable under the Credit Agreement ($1.1825 billion revolving credit facility at March 31, 2026, maturing in part on April 28,</w:t>
            </w:r>
          </w:p>
        </w:tc>
        <w:tc>
          <w:tcPr>
            <w:tcW w:w="3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2028 and in part on April 28, 2029, with interest paid monthly at SOFR plus 1.85%; $1.1825 billion revolving credit facility at</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 2025, maturing in part on April 28, 2028 and in part on April 28, 2029, with interest paid monthly at SOFR plus</w:t>
            </w: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578,870</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527,641</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1.85%)</w:t>
            </w:r>
          </w:p>
        </w:tc>
        <w:tc>
          <w:tcPr>
            <w:tcW w:w="72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8.750%</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December 15, 2028; interest paid semi-annually at 8.750%</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July 15, 2029; interest paid semi-annually at 4.000%</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80"/>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7.000%</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November 15, 2032; interest paid semi-annually at 7.000%</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38"/>
        </w:trPr>
        <w:tc>
          <w:tcPr>
            <w:tcW w:w="7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Loan payable under the LGI Living Loan Agreement maturing on July 8, 2030; with interest paid monthly at an annual rate of</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6.433%</w:t>
            </w:r>
          </w:p>
        </w:tc>
        <w:tc>
          <w:tcPr>
            <w:tcW w:w="7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debt issuance costs</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(20,838)</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notes payable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1,709,457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1,656,803</w:t>
            </w: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Capitalized Interest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activity, including other financing costs, for notes payable and financing arrangements for the periods presented is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71"/>
        </w:trPr>
        <w:tc>
          <w:tcPr>
            <w:tcW w:w="354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r>
      <w:tr>
        <w:trPr>
          <w:trHeight w:val="17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incurred</w:t>
            </w:r>
          </w:p>
        </w:tc>
        <w:tc>
          <w:tcPr>
            <w:tcW w:w="4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30,177</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29,924</w:t>
            </w:r>
          </w:p>
        </w:tc>
      </w:tr>
      <w:tr>
        <w:trPr>
          <w:trHeight w:val="18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Amounts capitalized</w:t>
            </w:r>
          </w:p>
        </w:tc>
        <w:tc>
          <w:tcPr>
            <w:tcW w:w="41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(30,177)</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(29,924)</w:t>
            </w: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5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5280" w:type="dxa"/>
            <w:vAlign w:val="bottom"/>
            <w:gridSpan w:val="2"/>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15,518</w:t>
            </w:r>
          </w:p>
        </w:tc>
      </w:tr>
      <w:tr>
        <w:trPr>
          <w:trHeight w:val="668"/>
        </w:trPr>
        <w:tc>
          <w:tcPr>
            <w:tcW w:w="3540" w:type="dxa"/>
            <w:vAlign w:val="bottom"/>
          </w:tcPr>
          <w:p>
            <w:pPr>
              <w:spacing w:after="0"/>
              <w:rPr>
                <w:sz w:val="24"/>
                <w:szCs w:val="24"/>
                <w:color w:val="auto"/>
              </w:rPr>
            </w:pPr>
          </w:p>
        </w:tc>
        <w:tc>
          <w:tcPr>
            <w:tcW w:w="414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11</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Included in interest incurred was amortization of deferred financing costs and applicable discounts for notes payable and financing arrangements of $2.2 million and $2.7 million for the three months ended March 31, 2026 and 2025, respectively.</w:t>
      </w:r>
    </w:p>
    <w:p>
      <w:pPr>
        <w:spacing w:after="0" w:line="122" w:lineRule="exact"/>
        <w:rPr>
          <w:sz w:val="20"/>
          <w:szCs w:val="20"/>
          <w:color w:val="auto"/>
        </w:rPr>
      </w:pPr>
    </w:p>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file U.S. and state income tax returns in jurisdictions with varying statutes of limitations. The statute of limitations with regards to our federal income tax filings is three years. The statute of limitations for our state tax jurisdictions is three to four years depending on the jurisdiction. In the normal course of business, we are subject to tax audits in various jurisdictions, and such jurisdictions may assess additional income taxes. We do not expect the outcome of any audit to have a material effect on our consolidated financial statements; however, audit outcomes and the timing of audit adjustments are subject to significant uncertainty.</w:t>
      </w:r>
    </w:p>
    <w:p>
      <w:pPr>
        <w:spacing w:after="0" w:line="5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our effective tax rate of 50.0% is higher than the Federal statutory rate primarily as a result of a 23.84% increase for a discrete item related to the compensation cost in excess of deductions for share-based payments, the compensation limitation under Section 162(m) of the Internal Revenue Code, as amended, and state income taxes, net of the federal benefit.</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Income taxes paid were $0.2 million and $38.6 million for the three months ended March 31, 2026 and 2025, respectively.</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February 2022, our Board of Directors (the “Board”) approved a $200.0 million increase to our previously authorized stock repurchase program, pursuant to which we may purchase up to $550.0 million of shares of our common stock through open market transactions, privately negotiated transactions or otherwise in accordance with applicable laws. During the three months ended March 31, 2026, we did not repurchase any shares of our common stock. During the three months ended March 31, 2025, we repurchased 41,685 shares of our common stock at a total cost, including commissions and excise taxes, of $3.1 million, to be held as treasury stock. A total of 3,656,592 shares of our common stock has been repurchased since our stock repurchase program commenced in 2018. As of March 31, 2026, we may purchase up to $157.3 million of shares of our common stock under our stock repurchase program.</w:t>
      </w:r>
    </w:p>
    <w:p>
      <w:pPr>
        <w:spacing w:after="0" w:line="14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EARNINGS PER SHARE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for the three months ended March 31,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(in thousands):</w:t>
            </w:r>
          </w:p>
        </w:tc>
        <w:tc>
          <w:tcPr>
            <w:tcW w:w="1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80"/>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(Numerator for basic and diluted earnings per share)</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7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10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23,149,912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23,396,470</w:t>
            </w:r>
          </w:p>
        </w:tc>
      </w:tr>
      <w:tr>
        <w:trPr>
          <w:trHeight w:val="180"/>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Stock-based compensation units</w:t>
            </w:r>
          </w:p>
        </w:tc>
        <w:tc>
          <w:tcPr>
            <w:tcW w:w="1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70,276</w:t>
            </w:r>
          </w:p>
        </w:tc>
      </w:tr>
      <w:tr>
        <w:trPr>
          <w:trHeight w:val="196"/>
        </w:trPr>
        <w:tc>
          <w:tcPr>
            <w:tcW w:w="7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10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23,219,224</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23,466,746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5"/>
                <w:szCs w:val="15"/>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non-vested restricted stock units excluded from calculations of diluted earnings per share</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50,771</w:t>
            </w:r>
          </w:p>
        </w:tc>
      </w:tr>
      <w:tr>
        <w:trPr>
          <w:trHeight w:val="679"/>
        </w:trPr>
        <w:tc>
          <w:tcPr>
            <w:tcW w:w="77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7"/>
        </w:trPr>
        <w:tc>
          <w:tcPr>
            <w:tcW w:w="77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STOCK-BASED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Non-performance Based Restricted Stock Units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of our time-vested restricted stock units (“RSUs”) for the three months ended March 31, 2026:</w:t>
      </w:r>
    </w:p>
    <w:p>
      <w:pPr>
        <w:spacing w:after="0" w:line="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480" w:type="dxa"/>
            <w:vAlign w:val="bottom"/>
          </w:tcPr>
          <w:p>
            <w:pPr>
              <w:spacing w:after="0"/>
              <w:rPr>
                <w:sz w:val="11"/>
                <w:szCs w:val="11"/>
                <w:color w:val="auto"/>
              </w:rPr>
            </w:pPr>
          </w:p>
        </w:tc>
        <w:tc>
          <w:tcPr>
            <w:tcW w:w="124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40" w:type="dxa"/>
            <w:vAlign w:val="bottom"/>
            <w:shd w:val="clear" w:color="auto" w:fill="CCEEFF"/>
          </w:tcPr>
          <w:p>
            <w:pPr>
              <w:spacing w:after="0"/>
              <w:rPr>
                <w:sz w:val="14"/>
                <w:szCs w:val="14"/>
                <w:color w:val="auto"/>
              </w:rPr>
            </w:pP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222,828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0" w:type="dxa"/>
            <w:vAlign w:val="bottom"/>
          </w:tcPr>
          <w:p>
            <w:pPr>
              <w:spacing w:after="0"/>
              <w:rPr>
                <w:sz w:val="1"/>
                <w:szCs w:val="1"/>
                <w:color w:val="auto"/>
              </w:rPr>
            </w:pPr>
          </w:p>
        </w:tc>
      </w:tr>
      <w:tr>
        <w:trPr>
          <w:trHeight w:val="18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110,997</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0" w:type="dxa"/>
            <w:vAlign w:val="bottom"/>
          </w:tcPr>
          <w:p>
            <w:pPr>
              <w:spacing w:after="0"/>
              <w:rPr>
                <w:sz w:val="1"/>
                <w:szCs w:val="1"/>
                <w:color w:val="auto"/>
              </w:rPr>
            </w:pPr>
          </w:p>
        </w:tc>
      </w:tr>
      <w:tr>
        <w:trPr>
          <w:trHeight w:val="18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(2,995)</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(30,882)</w:t>
            </w:r>
          </w:p>
        </w:tc>
        <w:tc>
          <w:tcPr>
            <w:tcW w:w="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104.36</w:t>
            </w:r>
          </w:p>
        </w:tc>
        <w:tc>
          <w:tcPr>
            <w:tcW w:w="0" w:type="dxa"/>
            <w:vAlign w:val="bottom"/>
          </w:tcPr>
          <w:p>
            <w:pPr>
              <w:spacing w:after="0"/>
              <w:rPr>
                <w:sz w:val="1"/>
                <w:szCs w:val="1"/>
                <w:color w:val="auto"/>
              </w:rPr>
            </w:pPr>
          </w:p>
        </w:tc>
      </w:tr>
      <w:tr>
        <w:trPr>
          <w:trHeight w:val="191"/>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299,948</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recognized $1.5 million and $1.7 million of stock-based compensation expense related to outstanding RSUs for the three months ended March 31, 2026 and 2025, respectively. Generally, the RSUs cliff vest on the third anniversary of the grant date and can only be settled in shares of our common stock. At March 31, 2026, we had unrecognized compensation cost of $11.6 million related to unvested RSUs, which is expected to be recognized over a weighted average period of 2.1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p>
      <w:pPr>
        <w:spacing w:after="0" w:line="9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Compensation Committee of the Board has granted awards of performance-based RSUs (“PSUs”) under the Amended and Restated LGI Homes, Inc. 2013 Equity Incentive Plan to certain members of senior management based on three-year performance cycles. The PSUs provide for shares of our common stock to be issued based on the attainment of certain performance metrics over the applicable three-year periods. The number of shares of our common stock that may be issued to the recipients for the PSUs range from 0% to 200% of the target amount depending on actual results as compared to the target performance metrics. The terms of the PSUs provide that the payouts will be capped at 100% of the target number of PSUs granted if absolute total stockholder return is negative during the performance period, regardless of EPS performance; this market condition applies for amounts recorded above target. The compensation expense associated with the PSU grants is determined using the derived grant date fair value, based on a third-party valuation analysis, and expensed over the applicable period. The PSUs vest upon the determination date for the actual results at the end of the three-year period and require that the recipients continue to be employed by us through the determination date. The PSUs can only be settled in shares of our common stock.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of our PSUs for the three months ended March 31, 2026:</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7480" w:type="dxa"/>
            <w:vAlign w:val="bottom"/>
          </w:tcPr>
          <w:p>
            <w:pPr>
              <w:spacing w:after="0"/>
              <w:rPr>
                <w:sz w:val="24"/>
                <w:szCs w:val="24"/>
                <w:color w:val="auto"/>
              </w:rPr>
            </w:pPr>
          </w:p>
        </w:tc>
        <w:tc>
          <w:tcPr>
            <w:tcW w:w="32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80" w:type="dxa"/>
            <w:vAlign w:val="bottom"/>
          </w:tcPr>
          <w:p>
            <w:pPr>
              <w:spacing w:after="0"/>
              <w:rPr>
                <w:sz w:val="11"/>
                <w:szCs w:val="11"/>
                <w:color w:val="auto"/>
              </w:rPr>
            </w:pPr>
          </w:p>
        </w:tc>
        <w:tc>
          <w:tcPr>
            <w:tcW w:w="18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Target Shares</w:t>
            </w:r>
          </w:p>
        </w:tc>
        <w:tc>
          <w:tcPr>
            <w:tcW w:w="19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248,122</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w:t>
            </w:r>
          </w:p>
        </w:tc>
        <w:tc>
          <w:tcPr>
            <w:tcW w:w="0" w:type="dxa"/>
            <w:vAlign w:val="bottom"/>
          </w:tcPr>
          <w:p>
            <w:pPr>
              <w:spacing w:after="0"/>
              <w:rPr>
                <w:sz w:val="1"/>
                <w:szCs w:val="1"/>
                <w:color w:val="auto"/>
              </w:rPr>
            </w:pPr>
          </w:p>
        </w:tc>
      </w:tr>
      <w:tr>
        <w:trPr>
          <w:trHeight w:val="180"/>
        </w:trPr>
        <w:tc>
          <w:tcPr>
            <w:tcW w:w="7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8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191,158</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0" w:type="dxa"/>
            <w:vAlign w:val="bottom"/>
          </w:tcPr>
          <w:p>
            <w:pPr>
              <w:spacing w:after="0"/>
              <w:rPr>
                <w:sz w:val="1"/>
                <w:szCs w:val="1"/>
                <w:color w:val="auto"/>
              </w:rPr>
            </w:pPr>
          </w:p>
        </w:tc>
      </w:tr>
      <w:tr>
        <w:trPr>
          <w:trHeight w:val="180"/>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8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(36,883)</w:t>
            </w: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(32,205)</w:t>
            </w:r>
          </w:p>
        </w:tc>
        <w:tc>
          <w:tcPr>
            <w:tcW w:w="1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104.36</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8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370,192</w:t>
            </w:r>
          </w:p>
        </w:tc>
        <w:tc>
          <w:tcPr>
            <w:tcW w:w="1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At March 31, 2026, management estimates that the recipients will receive approximately 51.6% of the weighted average target number of PSUs outstanding at the end of the applicable three-year performance cycle based on projected performance compared to the target performance metrics. We recognized $0.6 million and $0.6 million of total stock-based compensation expense related to outstanding PSUs for the three months ended March 31, 2026 and 2025, respectively. At March 31, 2026, we had unrecognized compensation cost of $8.3 million, based on the probable amount, related to unvested PSUs, which is expected to be recognized over a weighted average period of 3 years. PSUs granted in 2024, 2025, and 2026 are excluded from the calculation of diluted EPS as they are subject to unsatisfied performance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FAIR VALUE DISCLOSURES</w:t>
      </w:r>
    </w:p>
    <w:p>
      <w:pPr>
        <w:spacing w:after="0" w:line="9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Accounting Standards Codification (“ASC”)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defines fair value as “the price that would be received to sell an asset or paid to transfer a liability in an orderly transaction between market participants at the measurement date”. Fair value is determined based on the principal market for the asset or liability, or, in the absence of a principal market, the most advantageous market. The principal market is the market with the greatest volume and level of activity for the assets or liability, regardless of whether the Company ultimately transacts in that market. As a result, a fair value determined under this exit price concept may differ from the transaction price or quoted market price for the asset or liability.</w:t>
      </w:r>
    </w:p>
    <w:p>
      <w:pPr>
        <w:spacing w:after="0" w:line="5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ASC 820 establishes a framework for measuring fair value under GAAP, expands disclosure requirements for fair value measurements, and establishes a three-level fair value hierarchy that prioritizes the inputs used in valuation techniques. The hierarchy requires the use of observable inputs when available and the minimization of unobservable inputs. The three levels of the fair value hierarchy are as follows: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Quoted prices in active markets for identical assets or liabilities.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Significant observable inputs other than quoted prices included in Level 1, such as quoted prices for identical or similar assets or liabilities in markets that are not active.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Significant unobservable inputs that reflect the Company’s own assumptions about the assumptions market participants would use in pricing the asset or liability.</w:t>
      </w:r>
    </w:p>
    <w:p>
      <w:pPr>
        <w:spacing w:after="0" w:line="7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Fair value measurements on a nonrecurring basis occur when events or changes in circumstances indicate that the carrying value of an asset may not be recoverable, including impairment of long-lived assets and inventory. These nonrecurring fair value measurements are generally classified within Level 3 of the fair value hierarchy due to the use of significant observable inputs.</w:t>
      </w:r>
    </w:p>
    <w:p>
      <w:pPr>
        <w:spacing w:after="0" w:line="3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the Company recognized $4.7 million of impairment charges related to inventory, which were recorded in inventory on the consolidated balance sheets and cost of sales in the consolidated statement of operations. Of the total impairment charge, $2.4 million was related to our Florida reportable segment and $2.3 million was related to our Central reportable segment. The impairment charges were measured at fair value and classified within Level 3 of the fair value hierarchy.</w:t>
      </w:r>
    </w:p>
    <w:p>
      <w:pPr>
        <w:spacing w:after="0" w:line="5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fair value of the impaired assets was determined using valuation techniques that included discounted cash flow models and other market-based approaches. Significant unobservable inputs used in these valuations included estimated future selling prices, projected costs, absorption rates, expected holding periods and discount rates reflecting market participant assumptions. Changes in these assumptions could have a material impact on the estimated fair value and the amount of impairment recognized.</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including cash and cash equivalents, accounts receivable, accounts payable, and certain accrued liabilities, approximate fair value due to the short-term nature of these instruments.</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March 31, 2026, the carrying value of amounts outstanding under the Credit Agreement approximated fair value due to the variable interest rate, which adjusts based on market interest rates and the Company’s leverage ratio.</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fair value of the 2028 Senior Notes, the 2029 Senior Notes, the 2032 Senior Notes and the LGI Living Loan Agreement was estimated by discounting future contractual cash flows using market rates for similar instruments within the homebuilding industry. The fair value measurements are classified as Level 2 within the fair value hierarchy.</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below presents the Company’s debt measured at fair value by level within the fair value hierarchy as of March 31, 2026 and December 31, 2025 (in thousands):</w:t>
      </w:r>
    </w:p>
    <w:p>
      <w:pPr>
        <w:spacing w:after="0" w:line="12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3020" w:type="dxa"/>
            <w:vAlign w:val="bottom"/>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28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171"/>
        </w:trPr>
        <w:tc>
          <w:tcPr>
            <w:tcW w:w="280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2028 Senior Notes </w:t>
            </w:r>
            <w:r>
              <w:rPr>
                <w:rFonts w:ascii="Times New Roman" w:cs="Times New Roman" w:eastAsia="Times New Roman" w:hAnsi="Times New Roman"/>
                <w:sz w:val="18"/>
                <w:szCs w:val="18"/>
                <w:color w:val="auto"/>
                <w:vertAlign w:val="superscript"/>
              </w:rPr>
              <w:t>(1)</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426,062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437,152</w:t>
            </w:r>
          </w:p>
        </w:tc>
      </w:tr>
      <w:tr>
        <w:trPr>
          <w:trHeight w:val="180"/>
        </w:trPr>
        <w:tc>
          <w:tcPr>
            <w:tcW w:w="28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2029 Senior Notes </w:t>
            </w:r>
            <w:r>
              <w:rPr>
                <w:rFonts w:ascii="Times New Roman" w:cs="Times New Roman" w:eastAsia="Times New Roman" w:hAnsi="Times New Roman"/>
                <w:sz w:val="18"/>
                <w:szCs w:val="18"/>
                <w:color w:val="auto"/>
                <w:vertAlign w:val="superscript"/>
              </w:rPr>
              <w:t>(1)</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280,890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286,726</w:t>
            </w:r>
          </w:p>
        </w:tc>
      </w:tr>
      <w:tr>
        <w:trPr>
          <w:trHeight w:val="180"/>
        </w:trPr>
        <w:tc>
          <w:tcPr>
            <w:tcW w:w="2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2032 Senior Notes </w:t>
            </w:r>
            <w:r>
              <w:rPr>
                <w:rFonts w:ascii="Times New Roman" w:cs="Times New Roman" w:eastAsia="Times New Roman" w:hAnsi="Times New Roman"/>
                <w:sz w:val="18"/>
                <w:szCs w:val="18"/>
                <w:color w:val="auto"/>
                <w:vertAlign w:val="superscript"/>
              </w:rPr>
              <w:t>(1)</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437,114</w:t>
            </w:r>
          </w:p>
        </w:tc>
      </w:tr>
      <w:tr>
        <w:trPr>
          <w:trHeight w:val="138"/>
        </w:trPr>
        <w:tc>
          <w:tcPr>
            <w:tcW w:w="2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LGI Living Loan</w:t>
            </w: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4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Agreement </w:t>
            </w:r>
            <w:r>
              <w:rPr>
                <w:rFonts w:ascii="Times New Roman" w:cs="Times New Roman" w:eastAsia="Times New Roman" w:hAnsi="Times New Roman"/>
                <w:sz w:val="18"/>
                <w:szCs w:val="18"/>
                <w:color w:val="auto"/>
                <w:vertAlign w:val="superscript"/>
              </w:rPr>
              <w:t>(1)</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50,519</w:t>
            </w:r>
          </w:p>
        </w:tc>
        <w:tc>
          <w:tcPr>
            <w:tcW w:w="8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52,181</w:t>
            </w:r>
          </w:p>
        </w:tc>
      </w:tr>
    </w:tbl>
    <w:p>
      <w:pPr>
        <w:spacing w:after="0" w:line="51" w:lineRule="exact"/>
        <w:rPr>
          <w:sz w:val="20"/>
          <w:szCs w:val="20"/>
          <w:color w:val="auto"/>
        </w:rPr>
      </w:pPr>
    </w:p>
    <w:p>
      <w:pPr>
        <w:ind w:left="460" w:hanging="264"/>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u w:val="single" w:color="auto"/>
          <w:color w:val="0000FF"/>
        </w:rPr>
        <w:t>Note 4</w:t>
      </w:r>
      <w:r>
        <w:rPr>
          <w:rFonts w:ascii="Times New Roman" w:cs="Times New Roman" w:eastAsia="Times New Roman" w:hAnsi="Times New Roman"/>
          <w:sz w:val="13"/>
          <w:szCs w:val="13"/>
          <w:color w:val="auto"/>
        </w:rPr>
        <w:t xml:space="preserve"> for more details regarding the offerings of the 2028 Senior Notes, the 2029 Senior Notes, and the 2032 Senior Notes and the LGI Living Loan Agreement.</w:t>
      </w:r>
    </w:p>
    <w:p>
      <w:pPr>
        <w:spacing w:after="0" w:line="200" w:lineRule="exact"/>
        <w:rPr>
          <w:rFonts w:ascii="Times New Roman" w:cs="Times New Roman" w:eastAsia="Times New Roman" w:hAnsi="Times New Roman"/>
          <w:sz w:val="13"/>
          <w:szCs w:val="13"/>
          <w:color w:val="auto"/>
        </w:rPr>
      </w:pPr>
    </w:p>
    <w:p>
      <w:pPr>
        <w:spacing w:after="0" w:line="230"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220" w:firstLine="5"/>
        <w:spacing w:after="0" w:line="381" w:lineRule="auto"/>
        <w:tabs>
          <w:tab w:leader="none" w:pos="354"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Contingencies</w:t>
      </w: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 builders in the normal course of business. In the opinion of management, these matters will not have a material effect on our consolidated financial position, results of operations or cash flows.</w:t>
      </w:r>
    </w:p>
    <w:p>
      <w:pPr>
        <w:spacing w:after="0" w:line="5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have provided unsecured environmental indemnities to certain lenders and other counterparties. In each case, we have performed due diligence on the potential environmental risks including obtaining an independent environmental review from outside environmental consultants. These indemnities obligate us to reimburse the guaranteed parties for damages related to environmental matters. There is no term or damage limitation on these indemnities; however, if an environmental matter arises, we may have recourse against other previous owners. In the ordinary course of doing business, we are subject to regulatory proceedings from time to time related to environmental and other matters. In the opinion of management, these matters will not have a material effect on our consolidated financial position, results of operations or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LGI Living Loan Agreement</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July 23, 2025, the Company’s indirect, wholly owned special purpose subsidiary LGI Living SFR entered into the LGI Living Loan Agreement with Evergreen Residential Capital, LLC, as lender. The loan under the LGI Living Loan Agreement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w:t>
      </w:r>
    </w:p>
    <w:p>
      <w:pPr>
        <w:spacing w:after="0" w:line="5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loan under the LGI Living Loan Agreement is secured by certain of LGI Living SFR’s single-family rental properties. The LGI Living Loan Agreement provides for a secured non-recourse loan for up to $50.0 million, which can be increased at the request of LGI Living SFR by up to $75.0 million (for a total of $125.0 million), subject to the terms and conditions of the LGI Living Loan Agreement. As of March 31, 2026, LGI Living SFR had $50.0 million of borrowings outstanding under the LGI Living Loan Agreement.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Land Deposits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have land purchase contracts, generally through cash deposits, for the right to purchase land or lots at a future point in time with predetermined terms. We do not have title to the property, and obligations with respect to the land purchase contracts are generally limited to the forfeiture of the related nonrefundable cash deposits. The following is a summary of our land purchase deposits included in pre-acquisition costs and deposits (in thousands, except for lot count):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7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Land deposits and option payments </w:t>
            </w:r>
            <w:r>
              <w:rPr>
                <w:rFonts w:ascii="Times New Roman" w:cs="Times New Roman" w:eastAsia="Times New Roman" w:hAnsi="Times New Roman"/>
                <w:sz w:val="18"/>
                <w:szCs w:val="18"/>
                <w:color w:val="auto"/>
                <w:vertAlign w:val="superscript"/>
              </w:rPr>
              <w:t>(1)</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19,187</w:t>
            </w:r>
          </w:p>
        </w:tc>
      </w:tr>
      <w:tr>
        <w:trPr>
          <w:trHeight w:val="180"/>
        </w:trPr>
        <w:tc>
          <w:tcPr>
            <w:tcW w:w="7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Commitments under the land purchase option and deposit contracts if the purchases are consummated </w:t>
            </w:r>
            <w:r>
              <w:rPr>
                <w:rFonts w:ascii="Times New Roman" w:cs="Times New Roman" w:eastAsia="Times New Roman" w:hAnsi="Times New Roman"/>
                <w:sz w:val="18"/>
                <w:szCs w:val="18"/>
                <w:color w:val="auto"/>
                <w:vertAlign w:val="superscript"/>
              </w:rPr>
              <w:t>(1)</w:t>
            </w:r>
          </w:p>
        </w:tc>
        <w:tc>
          <w:tcPr>
            <w:tcW w:w="1500" w:type="dxa"/>
            <w:vAlign w:val="bottom"/>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246,553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285,654</w:t>
            </w:r>
          </w:p>
        </w:tc>
      </w:tr>
      <w:tr>
        <w:trPr>
          <w:trHeight w:val="180"/>
        </w:trPr>
        <w:tc>
          <w:tcPr>
            <w:tcW w:w="7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Lots under land options and land purchase contracts </w:t>
            </w:r>
            <w:r>
              <w:rPr>
                <w:rFonts w:ascii="Times New Roman" w:cs="Times New Roman" w:eastAsia="Times New Roman" w:hAnsi="Times New Roman"/>
                <w:sz w:val="18"/>
                <w:szCs w:val="18"/>
                <w:color w:val="auto"/>
                <w:vertAlign w:val="superscript"/>
              </w:rPr>
              <w:t>(1)</w:t>
            </w:r>
          </w:p>
        </w:tc>
        <w:tc>
          <w:tcPr>
            <w:tcW w:w="1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w:t>
            </w:r>
          </w:p>
        </w:tc>
      </w:tr>
    </w:tbl>
    <w:p>
      <w:pPr>
        <w:spacing w:after="0" w:line="148" w:lineRule="exact"/>
        <w:rPr>
          <w:sz w:val="20"/>
          <w:szCs w:val="20"/>
          <w:color w:val="auto"/>
        </w:rPr>
      </w:pPr>
    </w:p>
    <w:p>
      <w:pPr>
        <w:ind w:left="200"/>
        <w:spacing w:after="0"/>
        <w:tabs>
          <w:tab w:leader="none" w:pos="4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 xml:space="preserve">Includes land banking financing arrangements, see </w:t>
      </w:r>
      <w:r>
        <w:rPr>
          <w:rFonts w:ascii="Times New Roman" w:cs="Times New Roman" w:eastAsia="Times New Roman" w:hAnsi="Times New Roman"/>
          <w:sz w:val="12"/>
          <w:szCs w:val="12"/>
          <w:u w:val="single" w:color="auto"/>
          <w:color w:val="0000FF"/>
        </w:rPr>
        <w:t>Note 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0000FF"/>
        </w:rPr>
        <w:t>Note 3</w:t>
      </w:r>
      <w:r>
        <w:rPr>
          <w:rFonts w:ascii="Times New Roman" w:cs="Times New Roman" w:eastAsia="Times New Roman" w:hAnsi="Times New Roman"/>
          <w:sz w:val="12"/>
          <w:szCs w:val="12"/>
          <w:color w:val="auto"/>
        </w:rPr>
        <w:t xml:space="preserve"> for more details regarding real estate not owned.</w:t>
      </w:r>
    </w:p>
    <w:p>
      <w:pPr>
        <w:spacing w:after="0" w:line="8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March 31, 2026 and December 31, 2025, approximately $9.3 million and $8.2 million, respectively, of the land deposits are related to purchase contracts to deliver finished lots that are refundable under certain circumstances, such as feasibility or specific performance, and secured by mortgages or letters of credit or guaranteed by the seller or its affiliates.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Obligations</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recognize lease obligations and associated right-of-use (“ROU”) assets for our existing non-cancelable leases. Our lease agreements do not contain any material residual value guarantees or material restrictive covenants. We have non-cancelable operating leases primarily associated with our corporate and regional office facilities. Operating lease expense is recognized on a straight-line basis over the lease term, subject to any changes in the lease or expectations regarding the terms. Variable lease costs such as common area costs and property taxes are expensed as incurred. Leases with an initial term of 12 months or less are not recorded on the balance sheet. The lease term may include options to extend or terminate the lease when it is reasonably certain that we will exercise that option. As our leases do not provide an implicit rate, we use our incremental borrowing rate based on the information available at commencement date in determining the present value of lease payments. ROU assets, as included in other assets on the consolidated balance sheets, were $4.6 million and $4.7 million as of March 31,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2026 and December 31, 2025, respectively. Lease obligations, as included in accrued expenses and other liabilities on the consolidated balance sheets, were $5.0 million and $5.1 million as of March 31, 2026 and December 31, 2025, respectively.</w:t>
      </w:r>
    </w:p>
    <w:p>
      <w:pPr>
        <w:spacing w:after="0" w:line="3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Operating lease cost, as included in general and administrative expense in our consolidated statements of operations, was $0.5 million and $0.5 million for the three months ended March 31, 2026 and 2025, respectively. Cash paid for amounts included in the measurement of lease liabilities for operating leases was $0.7 million and $0.6 million for the three months ended March 31, 2026 and 2025, respectively. As of March 31, 2026, the weighted-average discount rate was 5.9% and our weighted-average remaining life was 1.8 years. We do not have any significant lease contracts that have not yet commenced at March 31, 2026.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 table below shows the future minimum payments under non-cancelable operating leases at March 31, 2026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4"/>
                <w:szCs w:val="14"/>
                <w:color w:val="auto"/>
              </w:rPr>
            </w:pP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8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r>
      <w:tr>
        <w:trPr>
          <w:trHeight w:val="18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r>
      <w:tr>
        <w:trPr>
          <w:trHeight w:val="18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r>
      <w:tr>
        <w:trPr>
          <w:trHeight w:val="18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18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7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0"/>
        </w:trPr>
        <w:tc>
          <w:tcPr>
            <w:tcW w:w="20" w:type="dxa"/>
            <w:vAlign w:val="bottom"/>
            <w:tcBorders>
              <w:bottom w:val="single" w:sz="8" w:color="CCEEFF"/>
            </w:tcBorders>
          </w:tcPr>
          <w:p>
            <w:pPr>
              <w:spacing w:after="0"/>
              <w:rPr>
                <w:sz w:val="15"/>
                <w:szCs w:val="15"/>
                <w:color w:val="auto"/>
              </w:rPr>
            </w:pPr>
          </w:p>
        </w:tc>
        <w:tc>
          <w:tcPr>
            <w:tcW w:w="9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71"/>
        </w:trPr>
        <w:tc>
          <w:tcPr>
            <w:tcW w:w="20" w:type="dxa"/>
            <w:vAlign w:val="bottom"/>
            <w:shd w:val="clear" w:color="auto" w:fill="CCEEFF"/>
          </w:tcPr>
          <w:p>
            <w:pPr>
              <w:spacing w:after="0"/>
              <w:rPr>
                <w:sz w:val="14"/>
                <w:szCs w:val="14"/>
                <w:color w:val="auto"/>
              </w:rPr>
            </w:pPr>
          </w:p>
        </w:tc>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w:t>
            </w:r>
          </w:p>
        </w:tc>
      </w:tr>
      <w:tr>
        <w:trPr>
          <w:trHeight w:val="180"/>
        </w:trPr>
        <w:tc>
          <w:tcPr>
            <w:tcW w:w="20" w:type="dxa"/>
            <w:vAlign w:val="bottom"/>
            <w:tcBorders>
              <w:bottom w:val="single" w:sz="8" w:color="CCEEFF"/>
            </w:tcBorders>
          </w:tcPr>
          <w:p>
            <w:pPr>
              <w:spacing w:after="0"/>
              <w:rPr>
                <w:sz w:val="15"/>
                <w:szCs w:val="15"/>
                <w:color w:val="auto"/>
              </w:rPr>
            </w:pPr>
          </w:p>
        </w:tc>
        <w:tc>
          <w:tcPr>
            <w:tcW w:w="9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Lease amount representing interest</w:t>
            </w: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Bonding and Letters of Credit</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have outstanding letters of credit and performance and surety bonds totaling $380.1 million (including $19.3 million of letters of credit issued under the Credit Agreement) and $392.2 million (including $19.5 million of letters of credit issued under the Credit Agreement) at March 31, 2026 and December 31, 2025, respectively, related to our obligations for site improvements at various projects. Management does not believe that draws upon the letters of credit, surety bonds or financial guarantees if any, will have a material effect on our consolidated financial position, results of operations or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in Unconsolidated Entities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March 31, 2026, we had two equity-method real estate joint ventures and five additional joint ventures engaged primarily to provide services, such as mortgage and insurance, to our homebuyers. As of March 31, 2026 and December 31, 2025, we have a total of $23.1 million and $21.2 million, respectively, within other assets on the balance sheet relating to our investment in joint ventures associated with our operations. Contributions into the unconsolidated entities are for the use of investing in certain real estate transactions and residential mortgage services, respectively. Income associated with our investment in unconsolidated entities during the three months ended March 31, 2026 and 2025 was $0.4 million and $0.9 million, respectively.</w:t>
      </w:r>
    </w:p>
    <w:p>
      <w:pPr>
        <w:spacing w:after="0" w:line="138" w:lineRule="exact"/>
        <w:rPr>
          <w:sz w:val="20"/>
          <w:szCs w:val="20"/>
          <w:color w:val="auto"/>
        </w:rPr>
      </w:pPr>
    </w:p>
    <w:p>
      <w:pPr>
        <w:ind w:left="360" w:hanging="355"/>
        <w:spacing w:after="0"/>
        <w:tabs>
          <w:tab w:leader="none" w:pos="3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Home Sales Revenues</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We generate revenues primarily by delivering move-in ready entry-level and move-up spec homes sold under our LGI Homes brand and our move-up and luxury series spec homes sold under our Terrata Homes brand.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our home sales revenues disaggregated by revenue stream (in thousands):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2"/>
        </w:trPr>
        <w:tc>
          <w:tcPr>
            <w:tcW w:w="7720" w:type="dxa"/>
            <w:vAlign w:val="bottom"/>
          </w:tcPr>
          <w:p>
            <w:pPr>
              <w:spacing w:after="0"/>
              <w:rPr>
                <w:sz w:val="17"/>
                <w:szCs w:val="17"/>
                <w:color w:val="auto"/>
              </w:rPr>
            </w:pPr>
          </w:p>
        </w:tc>
        <w:tc>
          <w:tcPr>
            <w:tcW w:w="2920" w:type="dxa"/>
            <w:vAlign w:val="bottom"/>
            <w:tcBorders>
              <w:bottom w:val="single" w:sz="8" w:color="auto"/>
            </w:tcBorders>
            <w:gridSpan w:val="4"/>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home sales revenues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289,975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296,939</w:t>
            </w:r>
          </w:p>
        </w:tc>
      </w:tr>
      <w:tr>
        <w:trPr>
          <w:trHeight w:val="18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Wholesale home sales revenues</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29,761</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54,481</w:t>
            </w: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home sales revenues</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351,420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home sales revenues are disaggregated by geography, based on our determined reportable segments.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hanging="355"/>
        <w:spacing w:after="0"/>
        <w:tabs>
          <w:tab w:leader="none" w:pos="3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operate one principal homebuilding business that is organized and reports by division. We have seven operating segments (our Central, Midwest, Southeast, Mid-Atlantic, Northwest, West and Florida divisions) that we aggregate into five qualifying reportable segments at March 31, 2026: our Central, Southeast, Northwest, West, and Florida divisions. These segments reflect the way we evaluate our business performance and manage our operations.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reporting purposes, our homebuilding operations are aggregated into five reportable segments as follows:</w:t>
      </w:r>
    </w:p>
    <w:p>
      <w:pPr>
        <w:spacing w:after="0" w:line="49"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4"/>
          <w:szCs w:val="14"/>
          <w:color w:val="auto"/>
        </w:rPr>
        <w:t>Central:</w:t>
      </w:r>
      <w:r>
        <w:rPr>
          <w:sz w:val="20"/>
          <w:szCs w:val="20"/>
          <w:color w:val="auto"/>
        </w:rPr>
        <w:tab/>
      </w:r>
      <w:r>
        <w:rPr>
          <w:rFonts w:ascii="Times New Roman" w:cs="Times New Roman" w:eastAsia="Times New Roman" w:hAnsi="Times New Roman"/>
          <w:sz w:val="14"/>
          <w:szCs w:val="14"/>
          <w:i w:val="1"/>
          <w:iCs w:val="1"/>
          <w:color w:val="auto"/>
        </w:rPr>
        <w:t>Texas, Oklahoma, Minnesota</w:t>
      </w:r>
    </w:p>
    <w:p>
      <w:pPr>
        <w:spacing w:after="0" w:line="51"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4"/>
          <w:szCs w:val="14"/>
          <w:color w:val="auto"/>
        </w:rPr>
        <w:t>Southeast:</w:t>
      </w:r>
      <w:r>
        <w:rPr>
          <w:sz w:val="20"/>
          <w:szCs w:val="20"/>
          <w:color w:val="auto"/>
        </w:rPr>
        <w:tab/>
      </w:r>
      <w:r>
        <w:rPr>
          <w:rFonts w:ascii="Times New Roman" w:cs="Times New Roman" w:eastAsia="Times New Roman" w:hAnsi="Times New Roman"/>
          <w:sz w:val="14"/>
          <w:szCs w:val="14"/>
          <w:i w:val="1"/>
          <w:iCs w:val="1"/>
          <w:color w:val="auto"/>
        </w:rPr>
        <w:t>Georgia, Alabama, Tennessee, North Carolina, South Carolina,</w:t>
      </w:r>
    </w:p>
    <w:p>
      <w:pPr>
        <w:spacing w:after="0" w:line="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West Virginia, Maryland, Pennsylvania, Virginia</w:t>
      </w:r>
    </w:p>
    <w:p>
      <w:pPr>
        <w:spacing w:after="0" w:line="51" w:lineRule="exact"/>
        <w:rPr>
          <w:sz w:val="20"/>
          <w:szCs w:val="20"/>
          <w:color w:val="auto"/>
        </w:rPr>
      </w:pPr>
    </w:p>
    <w:p>
      <w:pPr>
        <w:ind w:left="320"/>
        <w:spacing w:after="0"/>
        <w:tabs>
          <w:tab w:leader="none" w:pos="1080" w:val="left"/>
        </w:tabs>
        <w:rPr>
          <w:sz w:val="20"/>
          <w:szCs w:val="20"/>
          <w:color w:val="auto"/>
        </w:rPr>
      </w:pPr>
      <w:r>
        <w:rPr>
          <w:rFonts w:ascii="Times New Roman" w:cs="Times New Roman" w:eastAsia="Times New Roman" w:hAnsi="Times New Roman"/>
          <w:sz w:val="14"/>
          <w:szCs w:val="14"/>
          <w:color w:val="auto"/>
        </w:rPr>
        <w:t>Northwest:</w:t>
      </w:r>
      <w:r>
        <w:rPr>
          <w:sz w:val="20"/>
          <w:szCs w:val="20"/>
          <w:color w:val="auto"/>
        </w:rPr>
        <w:tab/>
      </w:r>
      <w:r>
        <w:rPr>
          <w:rFonts w:ascii="Times New Roman" w:cs="Times New Roman" w:eastAsia="Times New Roman" w:hAnsi="Times New Roman"/>
          <w:sz w:val="13"/>
          <w:szCs w:val="13"/>
          <w:i w:val="1"/>
          <w:iCs w:val="1"/>
          <w:color w:val="auto"/>
        </w:rPr>
        <w:t>Colorado, Washington, Oregon</w:t>
      </w:r>
    </w:p>
    <w:p>
      <w:pPr>
        <w:spacing w:after="0" w:line="51"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West:</w:t>
      </w:r>
      <w:r>
        <w:rPr>
          <w:sz w:val="20"/>
          <w:szCs w:val="20"/>
          <w:color w:val="auto"/>
        </w:rPr>
        <w:tab/>
      </w:r>
      <w:r>
        <w:rPr>
          <w:rFonts w:ascii="Times New Roman" w:cs="Times New Roman" w:eastAsia="Times New Roman" w:hAnsi="Times New Roman"/>
          <w:sz w:val="14"/>
          <w:szCs w:val="14"/>
          <w:i w:val="1"/>
          <w:iCs w:val="1"/>
          <w:color w:val="auto"/>
        </w:rPr>
        <w:t>Arizona, New Mexico, Nevada, California, Utah</w:t>
      </w:r>
    </w:p>
    <w:p>
      <w:pPr>
        <w:spacing w:after="0" w:line="51"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4"/>
          <w:szCs w:val="14"/>
          <w:color w:val="auto"/>
        </w:rPr>
        <w:t>Florida:</w:t>
      </w:r>
      <w:r>
        <w:rPr>
          <w:sz w:val="20"/>
          <w:szCs w:val="20"/>
          <w:color w:val="auto"/>
        </w:rPr>
        <w:tab/>
      </w:r>
      <w:r>
        <w:rPr>
          <w:rFonts w:ascii="Times New Roman" w:cs="Times New Roman" w:eastAsia="Times New Roman" w:hAnsi="Times New Roman"/>
          <w:sz w:val="14"/>
          <w:szCs w:val="14"/>
          <w:i w:val="1"/>
          <w:iCs w:val="1"/>
          <w:color w:val="auto"/>
        </w:rPr>
        <w:t>Florida</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determining the most appropriate reportable segments, we consider operating segments’ economic and other characteristics, including home floor plans, average selling prices, gross margin percentage, geographical proximity, production construction processes, suppliers, subcontractors, regulatory environments, customer type and underlying demand and supply. Each operating segment follows the same accounting policies and is managed by our management team. We have no inter-segment sales, as all sales are to external customers. Operating results for each segment may not be indicative of the results for such segment had it been an independent, stand-alone entity for the periods presented.</w:t>
      </w:r>
    </w:p>
    <w:p>
      <w:pPr>
        <w:spacing w:after="0" w:line="5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Our Chief Executive Officer and Chairman of the Board and our President and Chief Operating Officer have been determined to be our chief operating decision-makers (“CODMs”). The CODMs primarily evaluate the segments’ operating performance and allocate resources for all of our reportable segments based on net income before income taxes. For all of the segments, the CODMs use segment net income before income tax expense in the annual budget and forecasting process. These operating results are reviewed against actual and forecasted figures, with net income before income taxes being the key operating metric used to measure profit or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701"/>
        </w:trPr>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Financial information relating to our reportable segments was as follows (in thousands):</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2"/>
        </w:trPr>
        <w:tc>
          <w:tcPr>
            <w:tcW w:w="10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r>
      <w:tr>
        <w:trPr>
          <w:trHeight w:val="16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Central</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101,146</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101,682</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37,006</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34,237</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66,956</w:t>
            </w:r>
          </w:p>
        </w:tc>
      </w:tr>
      <w:tr>
        <w:trPr>
          <w:trHeight w:val="18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45,397</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47,399</w:t>
            </w:r>
          </w:p>
        </w:tc>
      </w:tr>
      <w:tr>
        <w:trPr>
          <w:trHeight w:val="19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home sales revenues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351,420</w:t>
            </w:r>
          </w:p>
        </w:tc>
      </w:tr>
      <w:tr>
        <w:trPr>
          <w:trHeight w:val="20"/>
        </w:trPr>
        <w:tc>
          <w:tcPr>
            <w:tcW w:w="76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6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sales: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Central </w:t>
            </w:r>
            <w:r>
              <w:rPr>
                <w:rFonts w:ascii="Times New Roman" w:cs="Times New Roman" w:eastAsia="Times New Roman" w:hAnsi="Times New Roman"/>
                <w:sz w:val="18"/>
                <w:szCs w:val="18"/>
                <w:color w:val="auto"/>
                <w:vertAlign w:val="superscript"/>
              </w:rPr>
              <w:t>(1)</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73,456</w:t>
            </w:r>
          </w:p>
        </w:tc>
        <w:tc>
          <w:tcPr>
            <w:tcW w:w="8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80,515</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77,721</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31,171</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28,422</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51,795</w:t>
            </w:r>
          </w:p>
        </w:tc>
      </w:tr>
      <w:tr>
        <w:trPr>
          <w:trHeight w:val="180"/>
        </w:trPr>
        <w:tc>
          <w:tcPr>
            <w:tcW w:w="768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Florida </w:t>
            </w:r>
            <w:r>
              <w:rPr>
                <w:rFonts w:ascii="Times New Roman" w:cs="Times New Roman" w:eastAsia="Times New Roman" w:hAnsi="Times New Roman"/>
                <w:sz w:val="18"/>
                <w:szCs w:val="18"/>
                <w:color w:val="auto"/>
                <w:vertAlign w:val="superscript"/>
              </w:rPr>
              <w:t>(1)</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40,384</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39,254</w:t>
            </w:r>
          </w:p>
        </w:tc>
      </w:tr>
      <w:tr>
        <w:trPr>
          <w:trHeight w:val="19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 of sales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259,807</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277,707</w:t>
            </w:r>
          </w:p>
        </w:tc>
      </w:tr>
      <w:tr>
        <w:trPr>
          <w:trHeight w:val="20"/>
        </w:trPr>
        <w:tc>
          <w:tcPr>
            <w:tcW w:w="76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6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7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segment items </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Central</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80" w:type="dxa"/>
            <w:vAlign w:val="bottom"/>
          </w:tcPr>
          <w:p>
            <w:pPr>
              <w:spacing w:after="0"/>
              <w:rPr>
                <w:sz w:val="15"/>
                <w:szCs w:val="15"/>
                <w:color w:val="auto"/>
              </w:rPr>
            </w:pP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23,727</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12,676</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8,795</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10,607</w:t>
            </w:r>
          </w:p>
        </w:tc>
      </w:tr>
      <w:tr>
        <w:trPr>
          <w:trHeight w:val="180"/>
        </w:trPr>
        <w:tc>
          <w:tcPr>
            <w:tcW w:w="7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Corporate </w:t>
            </w:r>
            <w:r>
              <w:rPr>
                <w:rFonts w:ascii="Times New Roman" w:cs="Times New Roman" w:eastAsia="Times New Roman" w:hAnsi="Times New Roman"/>
                <w:sz w:val="18"/>
                <w:szCs w:val="18"/>
                <w:color w:val="auto"/>
                <w:vertAlign w:val="superscript"/>
              </w:rPr>
              <w:t>(3)</w:t>
            </w:r>
          </w:p>
        </w:tc>
        <w:tc>
          <w:tcPr>
            <w:tcW w:w="1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7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segment items</w:t>
            </w: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55,610</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67,989</w:t>
            </w: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3"/>
        </w:trPr>
        <w:tc>
          <w:tcPr>
            <w:tcW w:w="106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before income taxes: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Central</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18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96"/>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income before income taxes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hanging="264"/>
        <w:spacing w:after="0" w:line="264" w:lineRule="auto"/>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recognized $4.7 million of impairment charges related to inventory, of which $2.4 million was related to our Florida reportable segment and $2.3 million was related to our Central reportable segment.</w:t>
      </w:r>
    </w:p>
    <w:p>
      <w:pPr>
        <w:spacing w:after="0" w:line="53" w:lineRule="exact"/>
        <w:rPr>
          <w:rFonts w:ascii="Times New Roman" w:cs="Times New Roman" w:eastAsia="Times New Roman" w:hAnsi="Times New Roman"/>
          <w:sz w:val="13"/>
          <w:szCs w:val="13"/>
          <w:color w:val="auto"/>
        </w:rPr>
      </w:pPr>
    </w:p>
    <w:p>
      <w:pPr>
        <w:ind w:left="460" w:hanging="264"/>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reflects other sources of income and expense, including selling expenses, general and administrative expenses and other income, net.</w:t>
      </w:r>
    </w:p>
    <w:p>
      <w:pPr>
        <w:spacing w:after="0" w:line="94" w:lineRule="exact"/>
        <w:rPr>
          <w:rFonts w:ascii="Times New Roman" w:cs="Times New Roman" w:eastAsia="Times New Roman" w:hAnsi="Times New Roman"/>
          <w:sz w:val="13"/>
          <w:szCs w:val="13"/>
          <w:color w:val="auto"/>
        </w:rPr>
      </w:pPr>
    </w:p>
    <w:p>
      <w:pPr>
        <w:ind w:left="460" w:hanging="264"/>
        <w:spacing w:after="0"/>
        <w:tabs>
          <w:tab w:leader="none" w:pos="4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Corporate balance consists of general and administrative unallocated costs for various shared service functions and non-strategic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733"/>
        </w:trPr>
        <w:tc>
          <w:tcPr>
            <w:tcW w:w="1060" w:type="dxa"/>
            <w:vAlign w:val="bottom"/>
            <w:tcBorders>
              <w:top w:val="single" w:sz="8" w:color="0000FF"/>
            </w:tcBorders>
          </w:tcPr>
          <w:p>
            <w:pPr>
              <w:spacing w:after="0"/>
              <w:rPr>
                <w:sz w:val="24"/>
                <w:szCs w:val="24"/>
                <w:color w:val="auto"/>
              </w:rPr>
            </w:pPr>
          </w:p>
        </w:tc>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24"/>
                <w:szCs w:val="24"/>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1"/>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8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Central</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1,189,620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1,162,355</w:t>
            </w:r>
          </w:p>
        </w:tc>
      </w:tr>
      <w:tr>
        <w:trPr>
          <w:trHeight w:val="18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801,556</w:t>
            </w:r>
          </w:p>
        </w:tc>
      </w:tr>
      <w:tr>
        <w:trPr>
          <w:trHeight w:val="18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598,193</w:t>
            </w:r>
          </w:p>
        </w:tc>
      </w:tr>
      <w:tr>
        <w:trPr>
          <w:trHeight w:val="18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800,548</w:t>
            </w:r>
          </w:p>
        </w:tc>
      </w:tr>
      <w:tr>
        <w:trPr>
          <w:trHeight w:val="18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452,555</w:t>
            </w:r>
          </w:p>
        </w:tc>
      </w:tr>
      <w:tr>
        <w:trPr>
          <w:trHeight w:val="180"/>
        </w:trPr>
        <w:tc>
          <w:tcPr>
            <w:tcW w:w="7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Corporate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112,035</w:t>
            </w:r>
          </w:p>
        </w:tc>
      </w:tr>
      <w:tr>
        <w:trPr>
          <w:trHeight w:val="171"/>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4,010,165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3,927,242</w:t>
            </w:r>
          </w:p>
        </w:tc>
      </w:tr>
      <w:tr>
        <w:trPr>
          <w:trHeight w:val="20"/>
        </w:trPr>
        <w:tc>
          <w:tcPr>
            <w:tcW w:w="10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0"/>
        <w:spacing w:after="0"/>
        <w:tabs>
          <w:tab w:leader="none" w:pos="4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The Corporate balance consists primarily of investments in unconsolidated entities.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For purposes of this Management’s Discussion and Analysis of Financial Condition and Results of Operation, references to “we,” “our,” “us” or similar terms refer to LGI Homes, Inc. and its subsidiaries.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management team has been in the residential land development business since the mid-1990s. Since commencing home building operations in 2003, we have constructed and closed over 80,000 homes.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engaged in the design, construction and sale of new homes in the following markets: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Northwest</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Midwest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Mid-Atlantic</w:t>
            </w:r>
          </w:p>
        </w:tc>
      </w:tr>
      <w:tr>
        <w:trPr>
          <w:trHeight w:val="161"/>
        </w:trPr>
        <w:tc>
          <w:tcPr>
            <w:tcW w:w="1600" w:type="dxa"/>
            <w:vAlign w:val="bottom"/>
            <w:tcBorders>
              <w:top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3"/>
                <w:szCs w:val="13"/>
                <w:color w:val="auto"/>
                <w:w w:val="95"/>
              </w:rPr>
              <w:t>Arizona</w:t>
            </w: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Washington</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Central Texas</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Minnesota</w:t>
            </w:r>
          </w:p>
        </w:tc>
        <w:tc>
          <w:tcPr>
            <w:tcW w:w="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Central Florida</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Georgia</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Maryland</w:t>
            </w:r>
          </w:p>
        </w:tc>
      </w:tr>
      <w:tr>
        <w:trPr>
          <w:trHeight w:val="168"/>
        </w:trPr>
        <w:tc>
          <w:tcPr>
            <w:tcW w:w="16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w w:val="97"/>
              </w:rPr>
              <w:t>New Mexico</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Oregon</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Dallas/Ft Worth</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East Florida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North Carolina</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Pennsylvania</w:t>
            </w:r>
          </w:p>
        </w:tc>
      </w:tr>
      <w:tr>
        <w:trPr>
          <w:trHeight w:val="172"/>
        </w:trPr>
        <w:tc>
          <w:tcPr>
            <w:tcW w:w="160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3"/>
                <w:szCs w:val="13"/>
                <w:color w:val="auto"/>
              </w:rPr>
              <w:t>Nevada</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9"/>
              </w:rPr>
              <w:t>Colorado</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Houston</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West Florida</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South Carolina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Virginia</w:t>
            </w:r>
          </w:p>
        </w:tc>
      </w:tr>
      <w:tr>
        <w:trPr>
          <w:trHeight w:val="168"/>
        </w:trPr>
        <w:tc>
          <w:tcPr>
            <w:tcW w:w="1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auto"/>
                <w:w w:val="97"/>
              </w:rPr>
              <w:t>Northern California</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Oklahoma</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Alabama</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West Virginia</w:t>
            </w:r>
          </w:p>
        </w:tc>
      </w:tr>
      <w:tr>
        <w:trPr>
          <w:trHeight w:val="172"/>
        </w:trPr>
        <w:tc>
          <w:tcPr>
            <w:tcW w:w="160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3"/>
                <w:szCs w:val="13"/>
                <w:color w:val="auto"/>
                <w:w w:val="97"/>
              </w:rPr>
              <w:t>Southern California</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Tennessee</w:t>
            </w:r>
          </w:p>
        </w:tc>
        <w:tc>
          <w:tcPr>
            <w:tcW w:w="1520" w:type="dxa"/>
            <w:vAlign w:val="bottom"/>
            <w:shd w:val="clear" w:color="auto" w:fill="CCEEFF"/>
          </w:tcPr>
          <w:p>
            <w:pPr>
              <w:spacing w:after="0"/>
              <w:rPr>
                <w:sz w:val="14"/>
                <w:szCs w:val="14"/>
                <w:color w:val="auto"/>
              </w:rPr>
            </w:pPr>
          </w:p>
        </w:tc>
      </w:tr>
      <w:tr>
        <w:trPr>
          <w:trHeight w:val="165"/>
        </w:trPr>
        <w:tc>
          <w:tcPr>
            <w:tcW w:w="1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auto"/>
                <w:w w:val="94"/>
              </w:rPr>
              <w:t>Utah</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delivered positive first quarter 2026 results that were in line with our expectations, despite a macroeconomic backdrop that remains challenging. Throughout the quarter, we continued executing on our strategy of delivering affordable homes to entry-level buyers across our markets. Persistently high mortgage rates continue to be a key pressure point for entry-level buyers. During the quarter, mortgage rates trended upward, driven by ongoing inflation, economic uncertainty, and geopolitical developments, including the conflict in the Middle East. Additionally, subdued consumer sentiment continues to impact buyers’ willingness to purchase new homes. In response to these dynamics, we continued offering affordable, move-in ready homes supported by compelling financial incentives and targeted discounts on older completed inventory. These strategies are designed to bridge the ongoing affordability gap and make homeownership accessible to as many customers as possible.</w:t>
      </w:r>
    </w:p>
    <w:p>
      <w:pPr>
        <w:spacing w:after="0" w:line="11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we closed 916 homes, including 35 currently and previously leased single-family homes. Excluding the 35 currently or previously leased single-family homes, our average sales price per home closed was $362,924. For the three months ended March 31, 2025, we closed 996 homes with an average sales price per home closed of $352,831.</w:t>
      </w:r>
    </w:p>
    <w:p>
      <w:pPr>
        <w:spacing w:after="0" w:line="8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We sell homes under the LGI Homes and Terrata Homes brands. Our 142 active communities at March 31, 2026 included 18 Terrata Homes communities. At March 31, 2025, we had 146 active communities, including 17 Terrata Homes communities.</w:t>
      </w:r>
    </w:p>
    <w:p>
      <w:pPr>
        <w:spacing w:after="0" w:line="9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For additional discussion regarding our business and operations, see Item 7. Management's Discussion and Analysis of Financial Condition and Results of Operations in Part II of our Annual Report on Form 10-K for the fiscal year ended December 31, 2025. For additional discussion regarding risks associated with our business and operations, see Item 1A. Risk Factors in Part I of our Annual Report on Form 10-K for the fiscal year ended December 31,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Results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Key financial results as of and for the three months ended March 31, 2026, as compared to the three months ended March 31, 2025, were as follows:</w:t>
      </w:r>
    </w:p>
    <w:p>
      <w:pPr>
        <w:spacing w:after="0" w:line="51" w:lineRule="exact"/>
        <w:rPr>
          <w:sz w:val="20"/>
          <w:szCs w:val="20"/>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decreased 9.0% to $319.7 million from $351.4 million.</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closed decreased 11.5% to 881 homes from 996 homes.</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sales price per home closed increased 2.9% to $362,924 from $352,831.</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margin as a percentage of home sales revenues decreased to 18.7% from 21.0%.</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gross margin (non-GAAP) as a percentage of home sales revenues decreased to 23.4% from 23.6%.</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before income taxes decreased 24.5% to $4.3 million from $5.7 million.</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decreased 45.1% to $2.2 million from $4.0 million.</w:t>
      </w:r>
    </w:p>
    <w:p>
      <w:pPr>
        <w:spacing w:after="0" w:line="51"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(non-GAAP) as a percentage of home sales revenues increased to 4.8% from 4.2%.</w:t>
      </w:r>
    </w:p>
    <w:p>
      <w:pPr>
        <w:spacing w:after="0" w:line="17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For reconciliations of the non-GAAP financial measures of adjusted gross margin and EBITDA to the most directly comparable GAAP financial measures, please see “</w:t>
      </w:r>
      <w:r>
        <w:rPr>
          <w:rFonts w:ascii="Times New Roman" w:cs="Times New Roman" w:eastAsia="Times New Roman" w:hAnsi="Times New Roman"/>
          <w:sz w:val="14"/>
          <w:szCs w:val="14"/>
          <w:u w:val="single" w:color="auto"/>
          <w:color w:val="0000FF"/>
        </w:rPr>
        <w:t>—Non-GAAP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Measures</w:t>
      </w:r>
      <w:r>
        <w:rPr>
          <w:rFonts w:ascii="Times New Roman" w:cs="Times New Roman" w:eastAsia="Times New Roman" w:hAnsi="Times New Roman"/>
          <w:sz w:val="14"/>
          <w:szCs w:val="14"/>
          <w:color w:val="000000"/>
        </w:rPr>
        <w:t>.”</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owned and controlled 59,028 lots at March 31, 2026 as compared to 60,842 lots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for the three months ended March 31, 2026 and 2025:</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0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8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78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8"/>
              </w:rPr>
              <w:t>(dollars in thousands, except per share data and average home sales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3"/>
          </w:tcPr>
          <w:p>
            <w:pPr>
              <w:jc w:val="center"/>
              <w:ind w:right="349"/>
              <w:spacing w:after="0"/>
              <w:rPr>
                <w:sz w:val="20"/>
                <w:szCs w:val="20"/>
                <w:color w:val="auto"/>
              </w:rPr>
            </w:pPr>
            <w:r>
              <w:rPr>
                <w:rFonts w:ascii="Times New Roman" w:cs="Times New Roman" w:eastAsia="Times New Roman" w:hAnsi="Times New Roman"/>
                <w:sz w:val="13"/>
                <w:szCs w:val="13"/>
                <w:b w:val="1"/>
                <w:bCs w:val="1"/>
                <w:color w:val="auto"/>
                <w:w w:val="98"/>
              </w:rPr>
              <w:t>price)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Home sales revenues</w:t>
            </w:r>
          </w:p>
        </w:tc>
        <w:tc>
          <w:tcPr>
            <w:tcW w:w="114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351,420</w:t>
            </w:r>
          </w:p>
        </w:tc>
        <w:tc>
          <w:tcPr>
            <w:tcW w:w="0" w:type="dxa"/>
            <w:vAlign w:val="bottom"/>
          </w:tcPr>
          <w:p>
            <w:pPr>
              <w:spacing w:after="0"/>
              <w:rPr>
                <w:sz w:val="1"/>
                <w:szCs w:val="1"/>
                <w:color w:val="auto"/>
              </w:rPr>
            </w:pPr>
          </w:p>
        </w:tc>
      </w:tr>
      <w:tr>
        <w:trPr>
          <w:trHeight w:val="16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4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259,807</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277,707</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expenses</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32,650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42,342</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27,861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31,202</w:t>
            </w:r>
          </w:p>
        </w:tc>
        <w:tc>
          <w:tcPr>
            <w:tcW w:w="0" w:type="dxa"/>
            <w:vAlign w:val="bottom"/>
          </w:tcPr>
          <w:p>
            <w:pPr>
              <w:spacing w:after="0"/>
              <w:rPr>
                <w:sz w:val="1"/>
                <w:szCs w:val="1"/>
                <w:color w:val="auto"/>
              </w:rPr>
            </w:pPr>
          </w:p>
        </w:tc>
      </w:tr>
      <w:tr>
        <w:trPr>
          <w:trHeight w:val="171"/>
        </w:trPr>
        <w:tc>
          <w:tcPr>
            <w:tcW w:w="7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(4,901)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(5,555)</w:t>
            </w:r>
          </w:p>
        </w:tc>
        <w:tc>
          <w:tcPr>
            <w:tcW w:w="0" w:type="dxa"/>
            <w:vAlign w:val="bottom"/>
          </w:tcPr>
          <w:p>
            <w:pPr>
              <w:spacing w:after="0"/>
              <w:rPr>
                <w:sz w:val="1"/>
                <w:szCs w:val="1"/>
                <w:color w:val="auto"/>
              </w:rPr>
            </w:pPr>
          </w:p>
        </w:tc>
      </w:tr>
      <w:tr>
        <w:trPr>
          <w:trHeight w:val="171"/>
        </w:trPr>
        <w:tc>
          <w:tcPr>
            <w:tcW w:w="7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before income taxes</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5,724</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00" w:type="dxa"/>
            <w:vAlign w:val="bottom"/>
            <w:gridSpan w:val="2"/>
            <w:vMerge w:val="continue"/>
          </w:tcPr>
          <w:p>
            <w:pPr>
              <w:spacing w:after="0"/>
              <w:rPr>
                <w:sz w:val="12"/>
                <w:szCs w:val="12"/>
                <w:color w:val="auto"/>
              </w:rPr>
            </w:pPr>
          </w:p>
        </w:tc>
        <w:tc>
          <w:tcPr>
            <w:tcW w:w="1140" w:type="dxa"/>
            <w:vAlign w:val="bottom"/>
          </w:tcPr>
          <w:p>
            <w:pPr>
              <w:jc w:val="right"/>
              <w:ind w:right="97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0"/>
              <w:spacing w:after="0" w:line="143" w:lineRule="exact"/>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2"/>
                <w:szCs w:val="12"/>
                <w:color w:val="auto"/>
              </w:rPr>
            </w:pPr>
          </w:p>
        </w:tc>
        <w:tc>
          <w:tcPr>
            <w:tcW w:w="1140" w:type="dxa"/>
            <w:vAlign w:val="bottom"/>
          </w:tcPr>
          <w:p>
            <w:pPr>
              <w:jc w:val="right"/>
              <w:ind w:right="9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1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and Operating Data:</w:t>
            </w: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community count</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Community count at end of period</w:t>
            </w:r>
          </w:p>
        </w:tc>
        <w:tc>
          <w:tcPr>
            <w:tcW w:w="114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closings</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sales price per home closed</w:t>
            </w:r>
          </w:p>
        </w:tc>
        <w:tc>
          <w:tcPr>
            <w:tcW w:w="1140" w:type="dxa"/>
            <w:vAlign w:val="bottom"/>
          </w:tcPr>
          <w:p>
            <w:pPr>
              <w:spacing w:after="0"/>
              <w:rPr>
                <w:sz w:val="15"/>
                <w:szCs w:val="15"/>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362,924</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352,831</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Gross margin </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59,929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73,713</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Gross margin % </w:t>
            </w:r>
            <w:r>
              <w:rPr>
                <w:rFonts w:ascii="Times New Roman" w:cs="Times New Roman" w:eastAsia="Times New Roman" w:hAnsi="Times New Roman"/>
                <w:sz w:val="18"/>
                <w:szCs w:val="18"/>
                <w:color w:val="auto"/>
                <w:vertAlign w:val="superscript"/>
              </w:rPr>
              <w:t>(2)</w:t>
            </w: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gross margin </w:t>
            </w:r>
            <w:r>
              <w:rPr>
                <w:rFonts w:ascii="Times New Roman" w:cs="Times New Roman" w:eastAsia="Times New Roman" w:hAnsi="Times New Roman"/>
                <w:sz w:val="18"/>
                <w:szCs w:val="18"/>
                <w:color w:val="auto"/>
                <w:vertAlign w:val="superscript"/>
              </w:rPr>
              <w:t>(3)</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74,975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82,789</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gross margin % </w:t>
            </w:r>
            <w:r>
              <w:rPr>
                <w:rFonts w:ascii="Times New Roman" w:cs="Times New Roman" w:eastAsia="Times New Roman" w:hAnsi="Times New Roman"/>
                <w:sz w:val="18"/>
                <w:szCs w:val="18"/>
                <w:color w:val="auto"/>
                <w:vertAlign w:val="superscript"/>
              </w:rPr>
              <w:t>(2)(3)</w:t>
            </w: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EBITDA </w:t>
            </w:r>
            <w:r>
              <w:rPr>
                <w:rFonts w:ascii="Times New Roman" w:cs="Times New Roman" w:eastAsia="Times New Roman" w:hAnsi="Times New Roman"/>
                <w:sz w:val="18"/>
                <w:szCs w:val="18"/>
                <w:color w:val="auto"/>
                <w:vertAlign w:val="superscript"/>
              </w:rPr>
              <w:t>(4)</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15,485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14,852</w:t>
            </w:r>
          </w:p>
        </w:tc>
        <w:tc>
          <w:tcPr>
            <w:tcW w:w="0" w:type="dxa"/>
            <w:vAlign w:val="bottom"/>
          </w:tcPr>
          <w:p>
            <w:pPr>
              <w:spacing w:after="0"/>
              <w:rPr>
                <w:sz w:val="1"/>
                <w:szCs w:val="1"/>
                <w:color w:val="auto"/>
              </w:rPr>
            </w:pPr>
          </w:p>
        </w:tc>
      </w:tr>
      <w:tr>
        <w:trPr>
          <w:trHeight w:val="180"/>
        </w:trPr>
        <w:tc>
          <w:tcPr>
            <w:tcW w:w="7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EBITDA margin % </w:t>
            </w:r>
            <w:r>
              <w:rPr>
                <w:rFonts w:ascii="Times New Roman" w:cs="Times New Roman" w:eastAsia="Times New Roman" w:hAnsi="Times New Roman"/>
                <w:sz w:val="18"/>
                <w:szCs w:val="18"/>
                <w:color w:val="auto"/>
                <w:vertAlign w:val="superscript"/>
              </w:rPr>
              <w:t>(2)(4)</w:t>
            </w: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0"/>
        </w:trPr>
        <w:tc>
          <w:tcPr>
            <w:tcW w:w="7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(4)</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24,377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18,750</w:t>
            </w:r>
          </w:p>
        </w:tc>
        <w:tc>
          <w:tcPr>
            <w:tcW w:w="0" w:type="dxa"/>
            <w:vAlign w:val="bottom"/>
          </w:tcPr>
          <w:p>
            <w:pPr>
              <w:spacing w:after="0"/>
              <w:rPr>
                <w:sz w:val="1"/>
                <w:szCs w:val="1"/>
                <w:color w:val="auto"/>
              </w:rPr>
            </w:pPr>
          </w:p>
        </w:tc>
      </w:tr>
      <w:tr>
        <w:trPr>
          <w:trHeight w:val="24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Adjusted EBITDA margin % </w:t>
            </w:r>
            <w:r>
              <w:rPr>
                <w:rFonts w:ascii="Times New Roman" w:cs="Times New Roman" w:eastAsia="Times New Roman" w:hAnsi="Times New Roman"/>
                <w:sz w:val="18"/>
                <w:szCs w:val="18"/>
                <w:color w:val="auto"/>
                <w:vertAlign w:val="superscript"/>
              </w:rPr>
              <w:t>(2)(4)</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264"/>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margin is home sales revenues less cost of sales.</w:t>
      </w:r>
    </w:p>
    <w:p>
      <w:pPr>
        <w:spacing w:after="0" w:line="83" w:lineRule="exact"/>
        <w:rPr>
          <w:rFonts w:ascii="Times New Roman" w:cs="Times New Roman" w:eastAsia="Times New Roman" w:hAnsi="Times New Roman"/>
          <w:sz w:val="13"/>
          <w:szCs w:val="13"/>
          <w:color w:val="auto"/>
        </w:rPr>
      </w:pPr>
    </w:p>
    <w:p>
      <w:pPr>
        <w:ind w:left="460" w:hanging="264"/>
        <w:spacing w:after="0"/>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a percentage of home sales revenues.</w:t>
      </w:r>
    </w:p>
    <w:p>
      <w:pPr>
        <w:spacing w:after="0" w:line="83" w:lineRule="exact"/>
        <w:rPr>
          <w:rFonts w:ascii="Times New Roman" w:cs="Times New Roman" w:eastAsia="Times New Roman" w:hAnsi="Times New Roman"/>
          <w:sz w:val="13"/>
          <w:szCs w:val="13"/>
          <w:color w:val="auto"/>
        </w:rPr>
      </w:pPr>
    </w:p>
    <w:p>
      <w:pPr>
        <w:jc w:val="both"/>
        <w:ind w:left="460" w:hanging="264"/>
        <w:spacing w:after="0" w:line="251"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margin is a non-GAAP financial measure used by management as a supplemental measure in evaluating operating performance. We define gross margin excluding inventory impairment as gross margin less inventory impairment charges. We define adjusted gross margin as gross margin excluding inventory impairment, less capitalized interest, and adjustments resulting from the application of purchase accounting included in the cost of sales. Our management believes adjusted gross margin is useful because it isolates the impact that capitalized interest, purchase accounting adjustments and inventory impairment have on gross margin. However, because adjusted gross margin excludes capitalized interest, purchase accounting adjustments and inventory impairment, which have real economic effects and could impact our results, the utility of adjusted gross margin as a measure of our operating performance may be limited. In addition, other companies may not calculate adjusted gross margin in the same manner that we do. Accordingly, adjusted gross margin should be considered only as a supplement to gross margin as a measure of our performance. Please see “</w:t>
      </w:r>
      <w:r>
        <w:rPr>
          <w:rFonts w:ascii="Times New Roman" w:cs="Times New Roman" w:eastAsia="Times New Roman" w:hAnsi="Times New Roman"/>
          <w:sz w:val="13"/>
          <w:szCs w:val="13"/>
          <w:u w:val="single" w:color="auto"/>
          <w:color w:val="0000FF"/>
        </w:rPr>
        <w:t>—Non-GAAP Measures</w:t>
      </w:r>
      <w:r>
        <w:rPr>
          <w:rFonts w:ascii="Times New Roman" w:cs="Times New Roman" w:eastAsia="Times New Roman" w:hAnsi="Times New Roman"/>
          <w:sz w:val="13"/>
          <w:szCs w:val="13"/>
          <w:color w:val="auto"/>
        </w:rPr>
        <w:t>” for a reconciliation of adjusted gross margin to gross margin, which is the GAAP financial measure that our management believes to be most directly comparable.</w:t>
      </w:r>
    </w:p>
    <w:p>
      <w:pPr>
        <w:spacing w:after="0" w:line="62" w:lineRule="exact"/>
        <w:rPr>
          <w:rFonts w:ascii="Times New Roman" w:cs="Times New Roman" w:eastAsia="Times New Roman" w:hAnsi="Times New Roman"/>
          <w:sz w:val="13"/>
          <w:szCs w:val="13"/>
          <w:color w:val="auto"/>
        </w:rPr>
      </w:pPr>
    </w:p>
    <w:p>
      <w:pPr>
        <w:jc w:val="both"/>
        <w:ind w:left="460" w:hanging="264"/>
        <w:spacing w:after="0" w:line="252" w:lineRule="auto"/>
        <w:tabs>
          <w:tab w:leader="none" w:pos="4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EBITDA and adjusted EBITDA are non-GAAP financial measures used by management as supplemental measures in evaluating operating performance. We define EBITDA as net income before (i) interest expense, (ii) income taxes, (iii) depreciation and amortization and (iv) capitalized interest charged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ind w:left="460"/>
        <w:spacing w:after="0" w:line="248" w:lineRule="auto"/>
        <w:rPr>
          <w:sz w:val="20"/>
          <w:szCs w:val="20"/>
          <w:color w:val="auto"/>
        </w:rPr>
      </w:pPr>
      <w:r>
        <w:rPr>
          <w:rFonts w:ascii="Times New Roman" w:cs="Times New Roman" w:eastAsia="Times New Roman" w:hAnsi="Times New Roman"/>
          <w:sz w:val="13"/>
          <w:szCs w:val="13"/>
          <w:color w:val="auto"/>
        </w:rPr>
        <w:t>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Please see “</w:t>
      </w:r>
      <w:r>
        <w:rPr>
          <w:rFonts w:ascii="Times New Roman" w:cs="Times New Roman" w:eastAsia="Times New Roman" w:hAnsi="Times New Roman"/>
          <w:sz w:val="13"/>
          <w:szCs w:val="13"/>
          <w:u w:val="single" w:color="auto"/>
          <w:color w:val="0000FF"/>
        </w:rPr>
        <w:t>—Non-GAAP Measures</w:t>
      </w:r>
      <w:r>
        <w:rPr>
          <w:rFonts w:ascii="Times New Roman" w:cs="Times New Roman" w:eastAsia="Times New Roman" w:hAnsi="Times New Roman"/>
          <w:sz w:val="13"/>
          <w:szCs w:val="13"/>
          <w:color w:val="auto"/>
        </w:rPr>
        <w:t>” for reconciliations of EBITDA and adjusted EBITDA to net income, which is the GAAP financial measure that our management believes to be most directly comparable.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 Compared to Three Months Ended March 31, 2025</w:t>
      </w:r>
    </w:p>
    <w:p>
      <w:pPr>
        <w:spacing w:after="0" w:line="94"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Homes Sales. </w:t>
      </w:r>
      <w:r>
        <w:rPr>
          <w:rFonts w:ascii="Times New Roman" w:cs="Times New Roman" w:eastAsia="Times New Roman" w:hAnsi="Times New Roman"/>
          <w:sz w:val="14"/>
          <w:szCs w:val="14"/>
          <w:color w:val="auto"/>
        </w:rPr>
        <w:t>Our home sales revenues, home closings, average sales price per home closed (ASP), average community count and average monthly absorption rate by reportable segment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March 31, 2026 and 2025, and our community count by reportable segment as of March 31, 2026 and 2025, were as follows (revenues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29"/>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4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Home Closings</w:t>
            </w:r>
          </w:p>
        </w:tc>
        <w:tc>
          <w:tcPr>
            <w:tcW w:w="320" w:type="dxa"/>
            <w:vAlign w:val="bottom"/>
          </w:tcPr>
          <w:p>
            <w:pPr>
              <w:spacing w:after="0"/>
              <w:rPr>
                <w:sz w:val="11"/>
                <w:szCs w:val="11"/>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ASP</w:t>
            </w:r>
          </w:p>
        </w:tc>
        <w:tc>
          <w:tcPr>
            <w:tcW w:w="15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Average Community</w:t>
            </w:r>
          </w:p>
        </w:tc>
        <w:tc>
          <w:tcPr>
            <w:tcW w:w="14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Average Monthly</w:t>
            </w:r>
          </w:p>
        </w:tc>
        <w:tc>
          <w:tcPr>
            <w:tcW w:w="80" w:type="dxa"/>
            <w:vAlign w:val="bottom"/>
          </w:tcPr>
          <w:p>
            <w:pPr>
              <w:spacing w:after="0"/>
              <w:rPr>
                <w:sz w:val="11"/>
                <w:szCs w:val="11"/>
                <w:color w:val="auto"/>
              </w:rPr>
            </w:pP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Community Count at End</w:t>
            </w:r>
          </w:p>
        </w:tc>
        <w:tc>
          <w:tcPr>
            <w:tcW w:w="0" w:type="dxa"/>
            <w:vAlign w:val="bottom"/>
          </w:tcPr>
          <w:p>
            <w:pPr>
              <w:spacing w:after="0"/>
              <w:rPr>
                <w:sz w:val="1"/>
                <w:szCs w:val="1"/>
                <w:color w:val="auto"/>
              </w:rPr>
            </w:pPr>
          </w:p>
        </w:tc>
      </w:tr>
      <w:tr>
        <w:trPr>
          <w:trHeight w:val="191"/>
        </w:trPr>
        <w:tc>
          <w:tcPr>
            <w:tcW w:w="2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Absorption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71"/>
        </w:trPr>
        <w:tc>
          <w:tcPr>
            <w:tcW w:w="21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Central</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301,216</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Southeast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72,323</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330,242</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Northwest</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37,006</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560,697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West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440,988</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Florida</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45,397</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354,664</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362,924</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33"/>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4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Home Closings</w:t>
            </w:r>
          </w:p>
        </w:tc>
        <w:tc>
          <w:tcPr>
            <w:tcW w:w="320" w:type="dxa"/>
            <w:vAlign w:val="bottom"/>
          </w:tcPr>
          <w:p>
            <w:pPr>
              <w:spacing w:after="0"/>
              <w:rPr>
                <w:sz w:val="11"/>
                <w:szCs w:val="11"/>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ASP</w:t>
            </w:r>
          </w:p>
        </w:tc>
        <w:tc>
          <w:tcPr>
            <w:tcW w:w="15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Average Community</w:t>
            </w:r>
          </w:p>
        </w:tc>
        <w:tc>
          <w:tcPr>
            <w:tcW w:w="14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Average Monthly</w:t>
            </w:r>
          </w:p>
        </w:tc>
        <w:tc>
          <w:tcPr>
            <w:tcW w:w="8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Community Count at End</w:t>
            </w:r>
          </w:p>
        </w:tc>
        <w:tc>
          <w:tcPr>
            <w:tcW w:w="0" w:type="dxa"/>
            <w:vAlign w:val="bottom"/>
          </w:tcPr>
          <w:p>
            <w:pPr>
              <w:spacing w:after="0"/>
              <w:rPr>
                <w:sz w:val="1"/>
                <w:szCs w:val="1"/>
                <w:color w:val="auto"/>
              </w:rPr>
            </w:pPr>
          </w:p>
        </w:tc>
      </w:tr>
      <w:tr>
        <w:trPr>
          <w:trHeight w:val="186"/>
        </w:trPr>
        <w:tc>
          <w:tcPr>
            <w:tcW w:w="2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Absorption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71"/>
        </w:trPr>
        <w:tc>
          <w:tcPr>
            <w:tcW w:w="21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Central</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101,146</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306,503</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Southeast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101,682</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325,904</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Northwest</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526,723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West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66,956</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421,107</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Florida</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47,399</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364,608</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351,420</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352,831</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Home sales revenues for the three months ended March 31, 2026 were $319.7 million, a decrease of $31.7 million, or 9.0%, from $351.4 million for the three months ended March 31, 2025. The decrease in home sales revenues was primarily due to an 11.5% decrease in the number of homes closed during the three months ended March 31, 2026 as compared to the three months ended March 31, 2025. The overall decrease in home closings was a result of fewer wholesale closings and a lower absorption rate during the three months ended March 31, 2026 as compared to the three months ended March 31, 2025. The decrease in wholesale closings was primarily related to lower institutional demand during the three months ended March 31, 2026 as compared to the three months ended March 31, 2025. The decrease in absorption rate was generally related to the impact of ongoing affordability constraints. The average sales price per home closed during the three months ended March 31, 2026 was $362,924, an increase of $10,093, or 2.9%, from the average sales price per home closed of $352,831 for the three months ended March 31, 2025. The increase in the average sales price per home closed was primarily due to geographic mix and a decrease in sales incentives, partially offset by discounted older inventory.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4"/>
          <w:szCs w:val="14"/>
          <w:color w:val="auto"/>
        </w:rPr>
        <w:t>Included within our home sales revenues for the three months ended March 31, 2026 was $29.8 million in wholesale revenues resulting from 111 home closings, representing 12.6% of the 881 total number of homes closed during the three months ended March 31, 2026. Included within our home sales revenues for the three months ended March 31, 2025 was $54.5 million in wholesale revenues resulting from 179 home closings, representing 18.0% of the 996 total number of homes closed during the three months ended March 31, 2025. The decrease in home closings as a percentage of revenues through our wholesale channel was primarily related to lower institutional demand during the three months ended March 31, 2026 as compared to the three months ended March 31, 2025.</w:t>
      </w:r>
    </w:p>
    <w:p>
      <w:pPr>
        <w:spacing w:after="0" w:line="231" w:lineRule="exact"/>
        <w:rPr>
          <w:sz w:val="20"/>
          <w:szCs w:val="20"/>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in our Central reportable segment decreased by $12.0 million, or 11.9%, during the three months ended March 31, 2026 as compared to the three months ended March 31, 2025, primarily due to a 10.3% decrease in the number of homes closed and a decrease in the average sales price per home closed. The decrease in home closings was the result of a lower absorption rate and a decrease in the average community count.</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in our Southeast reportable segment decreased by $29.4 million, or 28.9%, during the three months ended March 31, 2026 as compared to the three months ended March 31, 2025, primarily due to a 29.8% decrease in the number of homes closed, partially offset by an increase in the average sales price per home closed. The decrease in home closings was the result of a lower absorption rate.</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in our Northwest reportable segment increased by $2.8 million, or 8.1%, during the three months ended March 31, 2026 as compared to the three months ended March 31, 2025, primarily due to a 1.5% increase in the number of homes closed and a 6.5% increase in the average sales price per home closed. The increase in home closings was the result of a slightly higher absorption rate, partially offset by a decrease in the average community count.</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in our West reportable segment increased by $8.9 million, or 13.3%, during the three months ended March 31, 2026 as compared to the three months ended March 31, 2025, primarily due to an 8.2% increase in the number of homes closed and a 4.7% increase in the average sales price per home closed. The increase in home closings was the result of a higher absorption rate.</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sales revenues in our Florida reportable segment decreased by $2.0 million, or 4.2%, during the three months ended March 31, 2026, as compared to the three months ended March 31, 2025, primarily due to a 1.5% decrease in the number of homes closed and a 2.7% decrease in the average sales price per home closed. The decrease in home closings was the result of a decrease in the average community count, partially offset by a slightly higher absorption rate.</w:t>
      </w:r>
    </w:p>
    <w:p>
      <w:pPr>
        <w:spacing w:after="0" w:line="38"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Cost of Sales and Gross Margin (home sales revenues less cost of sales). </w:t>
      </w:r>
      <w:r>
        <w:rPr>
          <w:rFonts w:ascii="Times New Roman" w:cs="Times New Roman" w:eastAsia="Times New Roman" w:hAnsi="Times New Roman"/>
          <w:sz w:val="14"/>
          <w:szCs w:val="14"/>
          <w:color w:val="auto"/>
        </w:rPr>
        <w:t>Cost of sales for the three months ended March 31, 2026 was $259.8 million, a decrease of $17.9 million, or 6.4%,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$277.7 million for the three months ended March 31, 2025. This overall decrease was primarily due to an 11.5% decrease in the number of homes closed. Gross margin for the three months ended March 31, 2026 was $59.9 million, a decrease of $13.8 million, or 18.7%, from $73.7 million for the three months ended March 31, 2025. Gross margin as a percentage of home sales revenues was 18.7% for the three months ended March 31, 2026 and 21.0% for the three months ended March 31, 2025. The decrease in gross margin as a percentage of home sales revenues was primarily due to inventory-related impairment charges, price discounts on older inventory, higher capitalized interest, and higher indirect overhead costs, partially offset by a lower volume of wholesale home closings and lower house costs as a percentage of revenue during the three months ended March 31, 2026 as compared to the three months ended March 31, 2025.</w:t>
      </w:r>
    </w:p>
    <w:p>
      <w:pPr>
        <w:spacing w:after="0" w:line="7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Selling Expenses. </w:t>
      </w:r>
      <w:r>
        <w:rPr>
          <w:rFonts w:ascii="Times New Roman" w:cs="Times New Roman" w:eastAsia="Times New Roman" w:hAnsi="Times New Roman"/>
          <w:sz w:val="14"/>
          <w:szCs w:val="14"/>
          <w:color w:val="auto"/>
        </w:rPr>
        <w:t>Selling expenses for the three months ended March 31, 2026 were $32.7 million, a decrease of $9.7 million, or 22.9%, from $42.3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2025. The decrease in selling expenses was primarily due to a decrease in the number of homes closed for the three months ended March 31, 2026 as compared to the three months ended March 31, 2025. Sales commissions decreased to $12.5 million for the three months ended March 31, 2026 from $14.0 million for the three months ended March 31, 2025, primarily due to a decrease in the number of homes closed. Selling expenses as a percentage of home sales revenues were 10.2% and 12.0% for the three months ended March 31, 2026 and 2025, respectively. The decrease in selling expenses as a percentage of home sales revenues was primarily due to a decrease in home sales revenues and overall cost efficiencies in advertising expense during the three months ended March 31, 2026 as compared to the three months ended March 31, 2025.</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for the three months ended March 31, 2026 were $27.9 million, a decrease of $3.3 million, or 10.7%, from $31.2 million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three months ended March 31, 2025. General and administrative expenses as a percentage of home sales revenues were 8.7% and 8.9% during the three months ended March 31, 2026 and 2025, respectively. The decrease in general and administrative expenses as a percentage of home sales revenues was due to a one-time sales incentive fee in the prior period and reduced spending related to meetings, entertainment and travel during the three months ended March 31, 2026 as compared to the three months ended March 31,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of other expenses for the three months ended March 31, 2026 was $4.9 million, a decrease of $0.7 million from $5.6 million for the three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2025. The decrease in other income, net of other expenses, primarily reflects the decrease in income associated with our investment in unconsolidated entities and the decrease in interest income recognized.</w:t>
      </w:r>
    </w:p>
    <w:p>
      <w:pPr>
        <w:spacing w:after="0" w:line="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Operating Income (Loss) and Net Income before Income Taxes. </w:t>
      </w:r>
      <w:r>
        <w:rPr>
          <w:rFonts w:ascii="Times New Roman" w:cs="Times New Roman" w:eastAsia="Times New Roman" w:hAnsi="Times New Roman"/>
          <w:sz w:val="14"/>
          <w:szCs w:val="14"/>
          <w:color w:val="auto"/>
        </w:rPr>
        <w:t>Operating loss for the three months ended March 31, 2026 was $(0.6) million, a decrease of $0.8 million, or 473.4%,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income of $0.2 million for the three months ended March 31, 2025. Net income before income taxes for the three months ended March 31, 2026 was $4.3 million, a decrease of $1.4 million, or 24.5%, from $5.7 million for the three months ended March 31, 2025. The overall decreases in operating income and net income before income taxes were primarily due to overall lower home closings at a lower absorption rate, lower gross margin, other costs associated with the decrease in average community count, and $4.7 million of impairment changes related to inventory during the three months ended March 31, 2026 as compared to the three months ended March 31, 2025. Our reportable segments contributed to net income before income taxes during the three months ended March 31, 2026 as follows: Central - $3.1 million, or 72.4%; Southeast - $3.7 million, or 85.9%; Northwest - $(1.6) million, or (37.5)%; West - $3.3 million, or 77.2%; and Florida - $(3.8) million, or (87.6)%.</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Income tax provision for the three months ended March 31, 2026 was $2.2 million, an increase of $0.4 million, or 23.1%, from income tax provision of $1.7 million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March 31, 2025. The increase in our income tax provision was primarily due to the increase in our effective tax rate. The increase in our effective tax rate to 50.0% for the three months ended March 31, 2026 from 30.2% for the three months ended March 31, 2025 was primarily a result of an increase in the rate for the compensation cost in excess of deductions for share-based payments, state income taxes, net of the federal benefit, and the compensation limitation under Section 162(m) of the Internal Revenue Code, as amended.</w:t>
      </w:r>
    </w:p>
    <w:p>
      <w:pPr>
        <w:spacing w:after="0" w:line="5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Net Income</w:t>
      </w:r>
      <w:r>
        <w:rPr>
          <w:rFonts w:ascii="Times New Roman" w:cs="Times New Roman" w:eastAsia="Times New Roman" w:hAnsi="Times New Roman"/>
          <w:sz w:val="14"/>
          <w:szCs w:val="14"/>
          <w:color w:val="auto"/>
        </w:rPr>
        <w:t>. Net income for the three months ended March 31, 2026 was $2.2 million, a decrease of $1.8 million, or 45.1%, from $4.0 million for the three months ended March 31, 2025.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in net income during the three months ended March 31, 2026 as compared to the three months ended March 31, 2025 was primarily attributed to an overall decrease in the number of homes closed, home sales revenues and gross margin, as well as an inventory impairment charge of $4.7 million, of which $2.4 million was related to our Florida reportable segment and $2.3 million was related to our Central reportable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to the results reported in accordance with accounting principles generally accepted in the United States (“GAAP”), we have provided information in this Quarterly Report on Form 10-Q relating to gross margin excluding inventory impairment, adjusted gross margin, EBITDA, adjusted EBITDA, net debt to capital ratio, adjusted net income, adjusted basic earnings per share, and adjusted diluted earnings per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Margin Excluding Inventory impairment and Adjusted Gross Margin</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Gross margin excluding inventory impairment and adjusted gross margin are non-GAAP financial measures used by management as supplemental measures in evaluating operating performance. We define gross margin excluding inventory impairment as gross margin less inventory impairment charges. We define adjusted gross margin as gross margin excluding inventory impairments, less capitalized interest, and adjustments resulting from the application of purchase accounting included in the cost of sales. Our management believes gross margin excluding inventory impairment and adjusted gross margin are useful because they isolate the impact that capitalized interest, purchase accounting adjustments, and inventory impairment have on gross margin. However, because gross margin excluding inventory impairment and adjusted gross margin exclude capitalized interest, purchase accounting adjustments, and inventory impairment, which have real economic effects and could impact our results, the utility of gross margin excluding inventory impairment and adjusted gross margin as measures of our operating performance may be limited. In addition, other companies may not calculate gross margin excluding inventory impairment and adjusted gross margin in the same manner that we do. Accordingly, gross margin excluding inventory impairment and adjusted gross margin should be considered only as supplements to gross margin as a measure of our performance.</w:t>
      </w:r>
    </w:p>
    <w:p>
      <w:pPr>
        <w:spacing w:after="0" w:line="6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reconciles gross margin excluding inventory impairment and adjusted gross margin to gross margin, which is the GAAP financial measure that our management believes to be most directly comparable (dollars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sales revenues</w:t>
            </w: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319,736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351,420</w:t>
            </w: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259,807</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277,707</w:t>
            </w: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59,929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73,713</w:t>
            </w:r>
          </w:p>
        </w:tc>
      </w:tr>
      <w:tr>
        <w:trPr>
          <w:trHeight w:val="180"/>
        </w:trPr>
        <w:tc>
          <w:tcPr>
            <w:tcW w:w="7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Inventory impairment</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excluding inventory impairment</w:t>
            </w: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64,610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73,713</w:t>
            </w:r>
          </w:p>
        </w:tc>
      </w:tr>
      <w:tr>
        <w:trPr>
          <w:trHeight w:val="180"/>
        </w:trPr>
        <w:tc>
          <w:tcPr>
            <w:tcW w:w="7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Capitalized interest charged to cost of sales</w:t>
            </w:r>
          </w:p>
        </w:tc>
        <w:tc>
          <w:tcPr>
            <w:tcW w:w="1140" w:type="dxa"/>
            <w:vAlign w:val="bottom"/>
          </w:tcPr>
          <w:p>
            <w:pPr>
              <w:spacing w:after="0"/>
              <w:rPr>
                <w:sz w:val="15"/>
                <w:szCs w:val="15"/>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9,976</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8,267</w:t>
            </w:r>
          </w:p>
        </w:tc>
      </w:tr>
      <w:tr>
        <w:trPr>
          <w:trHeight w:val="180"/>
        </w:trPr>
        <w:tc>
          <w:tcPr>
            <w:tcW w:w="75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 xml:space="preserve">Purchase accounting adjustments </w:t>
            </w:r>
            <w:r>
              <w:rPr>
                <w:rFonts w:ascii="Times New Roman" w:cs="Times New Roman" w:eastAsia="Times New Roman" w:hAnsi="Times New Roman"/>
                <w:sz w:val="18"/>
                <w:szCs w:val="18"/>
                <w:color w:val="auto"/>
                <w:vertAlign w:val="superscript"/>
              </w:rPr>
              <w:t>(1)</w:t>
            </w:r>
          </w:p>
        </w:tc>
        <w:tc>
          <w:tcPr>
            <w:tcW w:w="1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809</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margin</w:t>
            </w:r>
          </w:p>
        </w:tc>
        <w:tc>
          <w:tcPr>
            <w:tcW w:w="114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74,975</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82,789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3"/>
        </w:trPr>
        <w:tc>
          <w:tcPr>
            <w:tcW w:w="75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color w:val="auto"/>
              </w:rPr>
              <w:t xml:space="preserve">Gross margin % </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5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Gross margin % excluding inventory impairment </w:t>
            </w:r>
            <w:r>
              <w:rPr>
                <w:rFonts w:ascii="Times New Roman" w:cs="Times New Roman" w:eastAsia="Times New Roman" w:hAnsi="Times New Roman"/>
                <w:sz w:val="18"/>
                <w:szCs w:val="18"/>
                <w:color w:val="auto"/>
                <w:vertAlign w:val="superscript"/>
              </w:rPr>
              <w:t>(2)</w:t>
            </w: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gross margin % </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23.6 %</w:t>
            </w:r>
          </w:p>
        </w:tc>
      </w:tr>
    </w:tbl>
    <w:p>
      <w:pPr>
        <w:spacing w:after="0" w:line="148" w:lineRule="exact"/>
        <w:rPr>
          <w:sz w:val="20"/>
          <w:szCs w:val="20"/>
          <w:color w:val="auto"/>
        </w:rPr>
      </w:pPr>
    </w:p>
    <w:p>
      <w:pPr>
        <w:ind w:left="520" w:hanging="260"/>
        <w:spacing w:after="0" w:line="264"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53"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a percentage of home sales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EBITDA and Adjusted EBITDA</w:t>
      </w:r>
    </w:p>
    <w:p>
      <w:pPr>
        <w:spacing w:after="0" w:line="9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EBITDA and adjusted EBITDA are non-GAAP financial measures used by management as supplemental measures in evaluating operating performance. We define EBITDA as net income before (i) interest expense, (ii) income taxes, (iii) depreciation and amortization and (iv) capitalized interest charged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Some of these limitations are:</w:t>
      </w:r>
    </w:p>
    <w:p>
      <w:pPr>
        <w:spacing w:after="0" w:line="58" w:lineRule="exact"/>
        <w:rPr>
          <w:sz w:val="20"/>
          <w:szCs w:val="20"/>
          <w:color w:val="auto"/>
        </w:rPr>
      </w:pPr>
    </w:p>
    <w:p>
      <w:pPr>
        <w:ind w:left="360" w:hanging="164"/>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every cash expenditure, future requirements for capital expenditures or contractual commitments, including for purchase of land;</w:t>
      </w:r>
    </w:p>
    <w:p>
      <w:pPr>
        <w:spacing w:after="0" w:line="51" w:lineRule="exact"/>
        <w:rPr>
          <w:rFonts w:ascii="Times New Roman" w:cs="Times New Roman" w:eastAsia="Times New Roman" w:hAnsi="Times New Roman"/>
          <w:sz w:val="14"/>
          <w:szCs w:val="14"/>
          <w:color w:val="auto"/>
        </w:rPr>
      </w:pPr>
    </w:p>
    <w:p>
      <w:pPr>
        <w:ind w:left="400" w:hanging="204"/>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interest expense or the cash requirements necessary to service interest or principal payments on our debt;</w:t>
      </w:r>
    </w:p>
    <w:p>
      <w:pPr>
        <w:spacing w:after="0" w:line="51" w:lineRule="exact"/>
        <w:rPr>
          <w:rFonts w:ascii="Times New Roman" w:cs="Times New Roman" w:eastAsia="Times New Roman" w:hAnsi="Times New Roman"/>
          <w:sz w:val="14"/>
          <w:szCs w:val="14"/>
          <w:color w:val="auto"/>
        </w:rPr>
      </w:pPr>
    </w:p>
    <w:p>
      <w:pPr>
        <w:ind w:left="460" w:hanging="264"/>
        <w:spacing w:after="0" w:line="284" w:lineRule="auto"/>
        <w:tabs>
          <w:tab w:leader="none" w:pos="4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or require improvements in the future, and EBITDA and adjusted EBITDA do not reflect any cash requirements for such replacements or improvements;</w:t>
      </w:r>
    </w:p>
    <w:p>
      <w:pPr>
        <w:ind w:left="440" w:hanging="244"/>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adjust for all non-cash income or expense items that are reflected in our statements of cash flows;</w:t>
      </w:r>
    </w:p>
    <w:p>
      <w:pPr>
        <w:spacing w:after="0" w:line="51" w:lineRule="exact"/>
        <w:rPr>
          <w:rFonts w:ascii="Times New Roman" w:cs="Times New Roman" w:eastAsia="Times New Roman" w:hAnsi="Times New Roman"/>
          <w:sz w:val="14"/>
          <w:szCs w:val="14"/>
          <w:color w:val="auto"/>
        </w:rPr>
      </w:pPr>
    </w:p>
    <w:p>
      <w:pPr>
        <w:ind w:left="400" w:hanging="204"/>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impact of earnings or charges resulting from matters we consider not to be indicative of our ongoing operations; and</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in our industry may calculate them differently than we do, limiting their usefulness as a comparative measure.</w:t>
      </w:r>
    </w:p>
    <w:p>
      <w:pPr>
        <w:spacing w:after="0" w:line="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Because of these limitations, our EBITDA and adjusted EBITDA should not be considered as measures of discretionary cash available to us to invest in the growth of our business or as measures of cash that will be available to us to meet our obligations. We compensate for these limitations by using our EBITDA and adjusted EBITDA along with other comparative tools, together with GAAP measures, to assist in the evaluation of operating performance. These GAAP measures include operating income, net income and cash flow data. We have significant uses of cash flows, including capital expenditures, interest payments and other non-recurring charges, which are not reflected in our EBITDA and adjusted EBITDA. EBITDA and adjusted EBITDA are not intended as alternatives to net income as indicators of our operating performance, as alternatives to any other measure of performance in conformity with GAAP or as alternatives to cash flows as a measure of liquidity. You should therefore not place undue reliance on our EBITDA and adjusted EBITDA calculated using these measures.</w:t>
      </w:r>
    </w:p>
    <w:p>
      <w:pPr>
        <w:spacing w:after="0" w:line="61" w:lineRule="exact"/>
        <w:rPr>
          <w:sz w:val="20"/>
          <w:szCs w:val="20"/>
          <w:color w:val="auto"/>
        </w:rPr>
      </w:pPr>
    </w:p>
    <w:p>
      <w:pPr>
        <w:ind w:right="240" w:firstLine="318"/>
        <w:spacing w:after="0" w:line="275" w:lineRule="auto"/>
        <w:rPr>
          <w:sz w:val="20"/>
          <w:szCs w:val="20"/>
          <w:color w:val="auto"/>
        </w:rPr>
      </w:pPr>
      <w:r>
        <w:rPr>
          <w:rFonts w:ascii="Times New Roman" w:cs="Times New Roman" w:eastAsia="Times New Roman" w:hAnsi="Times New Roman"/>
          <w:sz w:val="14"/>
          <w:szCs w:val="14"/>
          <w:color w:val="auto"/>
        </w:rPr>
        <w:t>The following table reconciles EBITDA and adjusted EBITDA to net income, which is the GAAP financial measure that our management believes to be most directly comparable (dollars in thousands):</w:t>
      </w: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4"/>
                <w:szCs w:val="14"/>
                <w:color w:val="auto"/>
              </w:rPr>
            </w:pP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3,994</w:t>
            </w: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18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1,730</w:t>
            </w:r>
          </w:p>
        </w:tc>
      </w:tr>
      <w:tr>
        <w:trPr>
          <w:trHeight w:val="18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861</w:t>
            </w:r>
          </w:p>
        </w:tc>
      </w:tr>
      <w:tr>
        <w:trPr>
          <w:trHeight w:val="180"/>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Capitalized interest charged to cost of sales</w:t>
            </w: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9,976</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8,267</w:t>
            </w:r>
          </w:p>
        </w:tc>
      </w:tr>
      <w:tr>
        <w:trPr>
          <w:trHeight w:val="17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18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15,485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14,852</w:t>
            </w: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 impairment</w:t>
            </w:r>
          </w:p>
        </w:tc>
        <w:tc>
          <w:tcPr>
            <w:tcW w:w="118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2,211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2,561</w:t>
            </w:r>
          </w:p>
        </w:tc>
      </w:tr>
      <w:tr>
        <w:trPr>
          <w:trHeight w:val="180"/>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accounting adjustments</w:t>
            </w:r>
          </w:p>
        </w:tc>
        <w:tc>
          <w:tcPr>
            <w:tcW w:w="1180" w:type="dxa"/>
            <w:vAlign w:val="bottom"/>
          </w:tcPr>
          <w:p>
            <w:pPr>
              <w:spacing w:after="0"/>
              <w:rPr>
                <w:sz w:val="15"/>
                <w:szCs w:val="15"/>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809</w:t>
            </w:r>
          </w:p>
        </w:tc>
      </w:tr>
      <w:tr>
        <w:trPr>
          <w:trHeight w:val="180"/>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Dead deal costs</w:t>
            </w:r>
          </w:p>
        </w:tc>
        <w:tc>
          <w:tcPr>
            <w:tcW w:w="1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528</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18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24,377</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18,750</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3"/>
        </w:trPr>
        <w:tc>
          <w:tcPr>
            <w:tcW w:w="75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color w:val="auto"/>
              </w:rPr>
              <w:t xml:space="preserve">EBITDA margin % </w:t>
            </w:r>
            <w:r>
              <w:rPr>
                <w:rFonts w:ascii="Times New Roman" w:cs="Times New Roman" w:eastAsia="Times New Roman" w:hAnsi="Times New Roman"/>
                <w:sz w:val="18"/>
                <w:szCs w:val="18"/>
                <w:color w:val="auto"/>
                <w:vertAlign w:val="superscript"/>
              </w:rPr>
              <w:t>(1)</w:t>
            </w: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Adjusted EBITDA margin % </w:t>
            </w:r>
            <w:r>
              <w:rPr>
                <w:rFonts w:ascii="Times New Roman" w:cs="Times New Roman" w:eastAsia="Times New Roman" w:hAnsi="Times New Roman"/>
                <w:sz w:val="18"/>
                <w:szCs w:val="18"/>
                <w:color w:val="auto"/>
                <w:vertAlign w:val="superscript"/>
              </w:rPr>
              <w:t>(1)</w:t>
            </w: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r>
    </w:tbl>
    <w:p>
      <w:pPr>
        <w:spacing w:after="0" w:line="8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Calculated as a percentage of home sales revenues.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Debt to Capital Ratio</w:t>
      </w:r>
    </w:p>
    <w:p>
      <w:pPr>
        <w:spacing w:after="0" w:line="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Net debt to capital ratio is a non-GAAP financial measure used by management as a supplemental measure in understanding the leverage employed in our operations and as an indicator of our ability to obtain financing. We define net debt to capital ratio as net debt (which is total debt minus cash and cash equivalents) divided by net debt plus total equity. Our management believes that the presentation of net debt to capital ratio provides useful information to investors regarding our financial leverage and our ability to meet long-term obligations. By excluding cash and cash equivalents from total debt,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ratio offers a clearer view of our capital structure and financial flexibility. Our management uses this metric to monitor our capital efficiency and to evaluate the effectiveness of our capital management strategies over time. Other companies may define this measure differently and, as a result, our measure of net debt to capital ratio may not be directly comparable to the measures of other companies.</w:t>
      </w:r>
    </w:p>
    <w:p>
      <w:pPr>
        <w:spacing w:after="0" w:line="225"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4"/>
          <w:szCs w:val="14"/>
          <w:color w:val="auto"/>
        </w:rPr>
        <w:t>The following table reconciles net debt to capital ratio (a non-GAAP financial measure) to debt to capital ratio, which is the GAAP financial measure that our management believes to be most directly comparable (dollars in thousands):</w:t>
      </w: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(Notes payable)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1,709,457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1,656,803</w:t>
            </w:r>
          </w:p>
        </w:tc>
      </w:tr>
      <w:tr>
        <w:trPr>
          <w:trHeight w:val="19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2,102,414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2,096,289</w:t>
            </w:r>
          </w:p>
        </w:tc>
      </w:tr>
      <w:tr>
        <w:trPr>
          <w:trHeight w:val="20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3,811,871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3,753,092</w:t>
            </w:r>
          </w:p>
        </w:tc>
      </w:tr>
      <w:tr>
        <w:trPr>
          <w:trHeight w:val="18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to capital ratio</w:t>
            </w:r>
          </w:p>
        </w:tc>
        <w:tc>
          <w:tcPr>
            <w:tcW w:w="3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44.1 %</w:t>
            </w:r>
          </w:p>
        </w:tc>
      </w:tr>
      <w:tr>
        <w:trPr>
          <w:trHeight w:val="221"/>
        </w:trPr>
        <w:tc>
          <w:tcPr>
            <w:tcW w:w="7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(Notes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1,709,457</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1,656,803</w:t>
            </w:r>
          </w:p>
        </w:tc>
      </w:tr>
      <w:tr>
        <w:trPr>
          <w:trHeight w:val="210"/>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60,860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61,247</w:t>
            </w:r>
          </w:p>
        </w:tc>
      </w:tr>
      <w:tr>
        <w:trPr>
          <w:trHeight w:val="18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debt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1,648,597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1,595,556</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2,102,414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2,096,289</w:t>
            </w:r>
          </w:p>
        </w:tc>
      </w:tr>
      <w:tr>
        <w:trPr>
          <w:trHeight w:val="18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capital</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3,751,011</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3,691,845</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debt to capital ratio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r>
    </w:tbl>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(1) Net debt to capital ratio is calculated as net debt (which is total debt minus cash and cash equivalents) divided by net debt plus total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Net Income, Adjusted Basic Earnings per Share, and Adjusted Diluted Earnings per Share</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Adjusted net income, adjusted basic earnings per share, and adjusted diluted earnings per share are non-GAAP financial measures used by management as supplemental measures in evaluating operating performance. We define adjusted net income as net income less inventory impairment charges. We define adjusted basic earnings per share as adjusted net income divided by weighted average basic shares outstanding. We define adjusted diluted earnings per share as adjusted net income divided by weighted average diluted shares outstanding. Our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results, the utility of adjusted net income. adjusted basic earnings per share, and adjusted diluted earnings per share as measures of our operating performance may be limited. In addition, other companies may not calculate adjusted net income, adjusted basic earnings per share, and adjusted diluted earnings per share in the same manner that we do. Accordingly, adjusted net income, adjusted basic earnings per share, and adjusted diluted earnings per share should be considered only as supplements to net income, basic earnings per share, and earnings per share, respectively, as measures of our performance.</w:t>
      </w:r>
    </w:p>
    <w:p>
      <w:pPr>
        <w:spacing w:after="0" w:line="6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The following table reconciles adjusted net income to net income, which is the GAAP financial measure that our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 average number of shares outstanding</w:t>
            </w: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23,149,912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23,396,470</w:t>
            </w: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4340" w:type="dxa"/>
            <w:vAlign w:val="bottom"/>
            <w:gridSpan w:val="2"/>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weighted average number of shares outstanding</w:t>
            </w: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23,219,224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23,466,746</w:t>
            </w: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4340" w:type="dxa"/>
            <w:vAlign w:val="bottom"/>
            <w:gridSpan w:val="2"/>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870"/>
        </w:trPr>
        <w:tc>
          <w:tcPr>
            <w:tcW w:w="4380" w:type="dxa"/>
            <w:vAlign w:val="bottom"/>
          </w:tcPr>
          <w:p>
            <w:pPr>
              <w:spacing w:after="0"/>
              <w:rPr>
                <w:sz w:val="24"/>
                <w:szCs w:val="24"/>
                <w:color w:val="auto"/>
              </w:rPr>
            </w:pPr>
          </w:p>
        </w:tc>
        <w:tc>
          <w:tcPr>
            <w:tcW w:w="330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28</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48"/>
        </w:trPr>
        <w:tc>
          <w:tcPr>
            <w:tcW w:w="1060" w:type="dxa"/>
            <w:vAlign w:val="bottom"/>
            <w:tcBorders>
              <w:top w:val="single" w:sz="8" w:color="0000FF"/>
            </w:tcBorders>
          </w:tcPr>
          <w:p>
            <w:pPr>
              <w:spacing w:after="0"/>
              <w:rPr>
                <w:sz w:val="24"/>
                <w:szCs w:val="24"/>
                <w:color w:val="auto"/>
              </w:rPr>
            </w:pPr>
          </w:p>
        </w:tc>
        <w:tc>
          <w:tcPr>
            <w:tcW w:w="662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171"/>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Inventory Impairment</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impact due to above reconciling item</w:t>
            </w: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w:t>
            </w: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3"/>
        </w:trPr>
        <w:tc>
          <w:tcPr>
            <w:tcW w:w="106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weighted average number of shares outstanding</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23,149,912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23,396,470</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basic earnings per share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weighted average number of shares outstanding</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23,219,224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23,466,746</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sell our homes under standard purchase contracts, which generally require a homebuyer to pay a deposit at the time of signing the purchase contract. The amount of the required deposit is minimal (typically $1,000 to $10,000). We permit our retail homebuyers to cancel the purchase contract and obtain a refund of their deposit in the event mortgage financing cannot be obtained within a certain period of time, as specified in their purchase contract. Typically, our retail homebuyers provide documentation regarding their ability to obtain mortgage financing within 14 days after the purchase contract is signed. If we determine that the homebuyer is not qualified to obtain mortgage financing or is not otherwise financially able to purchase the home, we will terminate the purchase contract. If a purchase contract has not been cancelled or terminated within 14 days after the purchase contract has been signed, then we have assumed the homebuyer will meet the preliminary criteria to obtain mortgage financing. Only purchase contracts that are signed by homebuyers who have met the preliminary criteria to obtain mortgage financing are included in new (gross) orders.</w:t>
      </w:r>
    </w:p>
    <w:p>
      <w:pPr>
        <w:spacing w:after="0" w:line="6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Our “backlog” consists of homes that are under a purchase contract that has been signed by homebuyers who have met the preliminary criteria to obtain mortgage financing but have not yet closed and wholesale contracts with varying terms. Since our business model is generally based on building move-in ready homes before a purchase contract is signed, the majority of our homes in backlog are currently under construction or complete. Ending backlog represents the number of homes in backlog from the previous period plus the number of net orders (new orders for homes less cancellations) generated during the current period minus the number of homes closed during the current period. Our backlog at any given time will be affected by cancellations, the number of our active communities and the timing of home closings. Homes in backlog are generally closed within one to two months, although home closings have been, and may continue to be, delayed. In addition, we may experience cancellations of purchase contracts at any time prior to closing. It is important to note that net orders, backlog and cancellation metrics are operational, rather than accounting data, and should be used only as a general gauge to evaluate performance. Backlog may be impacted by customer cancellations for various reasons that are beyond our control, and in light of our minimal required deposit, there is little negative impact to the potential homebuyer from the cancellation of the purchase contract.</w:t>
      </w:r>
    </w:p>
    <w:p>
      <w:pPr>
        <w:spacing w:after="0" w:line="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Net orders for the three months ended March 31, 2026 were 1,221 homes, a decrease of 15.0% from 1,437 homes for the three months ended March 31, 2025, reflecting continued affordability pressures and higher mortgage rates. The cancellation rate increased to 45.6% in 2026 from 16.3% in 2025, primarily due to financing challenges and buyer sensitivity to market conditions. Ending backlog grew to 1,699 homes, with an aggregate value of $660.5 million at March 31, 2026, compared to 1,040 homes valued at $406.2 million at March 31, 2025, which represented increases of 63.4% in units and 62.6% in value. The increases were driven by slower conversion of homes under contract to closings and a higher volume of homes under contract at quarter end. A significant portion of backlog relates to homes further along in construction and expected to close in the near term. However, conversion to revenue remains subject to construction timing, buyer financing, and incentive levels. Elevated cancellation rates and changes in market conditions could affect the pace of backlog conversion and future gross margins.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7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01"/>
        </w:trPr>
        <w:tc>
          <w:tcPr>
            <w:tcW w:w="20" w:type="dxa"/>
            <w:vAlign w:val="bottom"/>
          </w:tcPr>
          <w:p>
            <w:pPr>
              <w:spacing w:after="0"/>
              <w:rPr>
                <w:sz w:val="24"/>
                <w:szCs w:val="24"/>
                <w:color w:val="auto"/>
              </w:rPr>
            </w:pPr>
          </w:p>
        </w:tc>
        <w:tc>
          <w:tcPr>
            <w:tcW w:w="942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As of the dates set forth below, our net orders, cancellation rate and ending backlog homes and value were as follows (dollars in thousands):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748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Backlog Data</w:t>
            </w:r>
          </w:p>
        </w:tc>
        <w:tc>
          <w:tcPr>
            <w:tcW w:w="400" w:type="dxa"/>
            <w:vAlign w:val="bottom"/>
          </w:tcPr>
          <w:p>
            <w:pPr>
              <w:spacing w:after="0"/>
              <w:rPr>
                <w:sz w:val="12"/>
                <w:szCs w:val="12"/>
                <w:color w:val="auto"/>
              </w:rPr>
            </w:pPr>
          </w:p>
        </w:tc>
        <w:tc>
          <w:tcPr>
            <w:tcW w:w="1460" w:type="dxa"/>
            <w:vAlign w:val="bottom"/>
          </w:tcPr>
          <w:p>
            <w:pPr>
              <w:jc w:val="right"/>
              <w:ind w:right="651"/>
              <w:spacing w:after="0" w:line="140" w:lineRule="exact"/>
              <w:rPr>
                <w:sz w:val="20"/>
                <w:szCs w:val="20"/>
                <w:color w:val="auto"/>
              </w:rPr>
            </w:pPr>
            <w:r>
              <w:rPr>
                <w:rFonts w:ascii="Times New Roman" w:cs="Times New Roman" w:eastAsia="Times New Roman" w:hAnsi="Times New Roman"/>
                <w:sz w:val="13"/>
                <w:szCs w:val="13"/>
                <w:b w:val="1"/>
                <w:bCs w:val="1"/>
                <w:color w:val="auto"/>
              </w:rPr>
              <w:t xml:space="preserve">2026 </w:t>
            </w:r>
            <w:r>
              <w:rPr>
                <w:rFonts w:ascii="Times New Roman" w:cs="Times New Roman" w:eastAsia="Times New Roman" w:hAnsi="Times New Roman"/>
                <w:sz w:val="16"/>
                <w:szCs w:val="16"/>
                <w:b w:val="1"/>
                <w:bCs w:val="1"/>
                <w:color w:val="auto"/>
                <w:vertAlign w:val="superscript"/>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jc w:val="right"/>
              <w:ind w:right="631"/>
              <w:spacing w:after="0" w:line="140" w:lineRule="exact"/>
              <w:rPr>
                <w:sz w:val="20"/>
                <w:szCs w:val="20"/>
                <w:color w:val="auto"/>
              </w:rPr>
            </w:pPr>
            <w:r>
              <w:rPr>
                <w:rFonts w:ascii="Times New Roman" w:cs="Times New Roman" w:eastAsia="Times New Roman" w:hAnsi="Times New Roman"/>
                <w:sz w:val="13"/>
                <w:szCs w:val="13"/>
                <w:b w:val="1"/>
                <w:bCs w:val="1"/>
                <w:color w:val="auto"/>
              </w:rPr>
              <w:t xml:space="preserve">2025 </w:t>
            </w:r>
            <w:r>
              <w:rPr>
                <w:rFonts w:ascii="Times New Roman" w:cs="Times New Roman" w:eastAsia="Times New Roman" w:hAnsi="Times New Roman"/>
                <w:sz w:val="16"/>
                <w:szCs w:val="16"/>
                <w:b w:val="1"/>
                <w:bCs w:val="1"/>
                <w:color w:val="auto"/>
                <w:vertAlign w:val="superscript"/>
              </w:rPr>
              <w:t>(5)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8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4"/>
                <w:szCs w:val="14"/>
                <w:color w:val="auto"/>
              </w:rPr>
              <w:t xml:space="preserve">Net orders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1,437</w:t>
            </w:r>
          </w:p>
        </w:tc>
      </w:tr>
      <w:tr>
        <w:trPr>
          <w:trHeight w:val="180"/>
        </w:trPr>
        <w:tc>
          <w:tcPr>
            <w:tcW w:w="20" w:type="dxa"/>
            <w:vAlign w:val="bottom"/>
          </w:tcPr>
          <w:p>
            <w:pPr>
              <w:spacing w:after="0"/>
              <w:rPr>
                <w:sz w:val="15"/>
                <w:szCs w:val="15"/>
                <w:color w:val="auto"/>
              </w:rPr>
            </w:pPr>
          </w:p>
        </w:tc>
        <w:tc>
          <w:tcPr>
            <w:tcW w:w="748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Cancellation rate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16.3 %</w:t>
            </w:r>
          </w:p>
        </w:tc>
      </w:tr>
      <w:tr>
        <w:trPr>
          <w:trHeight w:val="180"/>
        </w:trPr>
        <w:tc>
          <w:tcPr>
            <w:tcW w:w="20" w:type="dxa"/>
            <w:vAlign w:val="bottom"/>
            <w:shd w:val="clear" w:color="auto" w:fill="CCEEFF"/>
          </w:tcPr>
          <w:p>
            <w:pPr>
              <w:spacing w:after="0"/>
              <w:rPr>
                <w:sz w:val="15"/>
                <w:szCs w:val="15"/>
                <w:color w:val="auto"/>
              </w:rPr>
            </w:pPr>
          </w:p>
        </w:tc>
        <w:tc>
          <w:tcPr>
            <w:tcW w:w="74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Ending backlog – homes </w:t>
            </w:r>
            <w:r>
              <w:rPr>
                <w:rFonts w:ascii="Times New Roman" w:cs="Times New Roman" w:eastAsia="Times New Roman" w:hAnsi="Times New Roman"/>
                <w:sz w:val="18"/>
                <w:szCs w:val="18"/>
                <w:color w:val="auto"/>
                <w:vertAlign w:val="superscript"/>
              </w:rPr>
              <w:t>(3)</w:t>
            </w: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1,040</w:t>
            </w:r>
          </w:p>
        </w:tc>
      </w:tr>
      <w:tr>
        <w:trPr>
          <w:trHeight w:val="243"/>
        </w:trPr>
        <w:tc>
          <w:tcPr>
            <w:tcW w:w="20" w:type="dxa"/>
            <w:vAlign w:val="bottom"/>
          </w:tcPr>
          <w:p>
            <w:pPr>
              <w:spacing w:after="0"/>
              <w:rPr>
                <w:sz w:val="21"/>
                <w:szCs w:val="21"/>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Ending backlog – value </w:t>
            </w:r>
            <w:r>
              <w:rPr>
                <w:rFonts w:ascii="Times New Roman" w:cs="Times New Roman" w:eastAsia="Times New Roman" w:hAnsi="Times New Roman"/>
                <w:sz w:val="18"/>
                <w:szCs w:val="18"/>
                <w:color w:val="auto"/>
                <w:vertAlign w:val="superscript"/>
              </w:rPr>
              <w:t>(3)</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660,511</w:t>
            </w:r>
          </w:p>
        </w:tc>
        <w:tc>
          <w:tcPr>
            <w:tcW w:w="80" w:type="dxa"/>
            <w:vAlign w:val="bottom"/>
          </w:tcPr>
          <w:p>
            <w:pPr>
              <w:spacing w:after="0"/>
              <w:rPr>
                <w:sz w:val="21"/>
                <w:szCs w:val="21"/>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406,166</w:t>
            </w:r>
          </w:p>
        </w:tc>
      </w:tr>
    </w:tbl>
    <w:p>
      <w:pPr>
        <w:spacing w:after="0" w:line="44" w:lineRule="exact"/>
        <w:rPr>
          <w:sz w:val="20"/>
          <w:szCs w:val="20"/>
          <w:color w:val="auto"/>
        </w:rPr>
      </w:pPr>
    </w:p>
    <w:p>
      <w:pPr>
        <w:ind w:left="460" w:hanging="264"/>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orders are new (gross) orders for the purchase of homes during the period, less cancellations of existing purchase contracts during the period.</w:t>
      </w:r>
    </w:p>
    <w:p>
      <w:pPr>
        <w:spacing w:after="0" w:line="41" w:lineRule="exact"/>
        <w:rPr>
          <w:rFonts w:ascii="Times New Roman" w:cs="Times New Roman" w:eastAsia="Times New Roman" w:hAnsi="Times New Roman"/>
          <w:sz w:val="13"/>
          <w:szCs w:val="13"/>
          <w:color w:val="auto"/>
        </w:rPr>
      </w:pPr>
    </w:p>
    <w:p>
      <w:pPr>
        <w:ind w:left="460" w:hanging="264"/>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Cancellation rate for a period is the total number of purchase contracts cancelled during the period divided by the total new (gross) orders for the purchase of homes during the period.</w:t>
      </w:r>
    </w:p>
    <w:p>
      <w:pPr>
        <w:spacing w:after="0" w:line="41" w:lineRule="exact"/>
        <w:rPr>
          <w:rFonts w:ascii="Times New Roman" w:cs="Times New Roman" w:eastAsia="Times New Roman" w:hAnsi="Times New Roman"/>
          <w:sz w:val="13"/>
          <w:szCs w:val="13"/>
          <w:color w:val="auto"/>
        </w:rPr>
      </w:pPr>
    </w:p>
    <w:p>
      <w:pPr>
        <w:ind w:left="460" w:hanging="264"/>
        <w:spacing w:after="0" w:line="281" w:lineRule="auto"/>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Ending backlog consists of retail homes at the end of the period that are under a purchase contract that has been signed by homebuyers who have met our preliminary financing criteria but have not yet closed and wholesale contracts with varying terms. Ending backlog is valued at the contract amount.</w:t>
      </w:r>
    </w:p>
    <w:p>
      <w:pPr>
        <w:ind w:left="460" w:hanging="264"/>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2026, we had 442 units related to bulk sales agreements associated with our wholesale business.</w:t>
      </w:r>
    </w:p>
    <w:p>
      <w:pPr>
        <w:spacing w:after="0" w:line="52" w:lineRule="exact"/>
        <w:rPr>
          <w:rFonts w:ascii="Times New Roman" w:cs="Times New Roman" w:eastAsia="Times New Roman" w:hAnsi="Times New Roman"/>
          <w:sz w:val="13"/>
          <w:szCs w:val="13"/>
          <w:color w:val="auto"/>
        </w:rPr>
      </w:pPr>
    </w:p>
    <w:p>
      <w:pPr>
        <w:ind w:left="460" w:hanging="264"/>
        <w:spacing w:after="0"/>
        <w:tabs>
          <w:tab w:leader="none" w:pos="4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2025, we had 253 units related to bulk sales agreements associated with our wholesale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Land Acquisition Policies and Development</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had 142 and 144 active communities as of March 31, 2026 and December 31, 2025, respectively. Generally, it takes us three to four years to turn raw or undeveloped land into an active community. To mitigate our exposure to real estate inventory risks, we have utilized, on a limited and strategic basis, land banking financing arrangements.</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lot inventory decreased to 59,028 owned or controlled lots as of March 31, 2026 from 60,842 owned or controlled lots as of December 31, 2025, primarily related to our discipline in the evaluation and selective approval of new land deals and strategic lot sales in select markets.</w:t>
      </w:r>
    </w:p>
    <w:p>
      <w:pPr>
        <w:spacing w:after="0" w:line="3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We have land banking financing arrangements with a third-party land banker to repurchase land that we sold to the land banker as a method of acquiring finished lots in staged takedowns, while limiting risk and minimizing the use of funds from our available cash or other financing sources. In consideration for this repurchase option, we paid a non-refundable commitment fee. Based on our right to control the ultimate economic outcome of these finished lots, these assets will continue to be held as real estate not owned within our inventory and a corresponding obligation was established within our accrued liabilities, as discussed in </w:t>
      </w:r>
      <w:r>
        <w:rPr>
          <w:rFonts w:ascii="Times New Roman" w:cs="Times New Roman" w:eastAsia="Times New Roman" w:hAnsi="Times New Roman"/>
          <w:sz w:val="14"/>
          <w:szCs w:val="14"/>
          <w:u w:val="single" w:color="auto"/>
          <w:color w:val="0000FF"/>
        </w:rPr>
        <w:t>Note 3</w:t>
      </w:r>
      <w:r>
        <w:rPr>
          <w:rFonts w:ascii="Times New Roman" w:cs="Times New Roman" w:eastAsia="Times New Roman" w:hAnsi="Times New Roman"/>
          <w:sz w:val="14"/>
          <w:szCs w:val="14"/>
          <w:color w:val="auto"/>
        </w:rPr>
        <w:t>, “Accrued Expenses and Other Liabilities” to our consolidated financial statements included in Part I, Item 1 of this Quarterly Report on Form 10-Q, to recognize this relationship. While we are not legally obligated to repurchase the balance of the lots, we will be subject to certain performance obligations, financial and other penalties if the lots are not purchased. We do not have any ownership interest or title to the assets that we have sold to the land banker and we do not guarantee any of the land banker’s liabilities.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(i) home closings by reportable segment for the three months ended March 31, 2026 and (ii) our owned or controlled lots by reportable segment as of March 31,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Home Closings</w:t>
            </w:r>
          </w:p>
        </w:tc>
        <w:tc>
          <w:tcPr>
            <w:tcW w:w="100" w:type="dxa"/>
            <w:vAlign w:val="bottom"/>
          </w:tcPr>
          <w:p>
            <w:pPr>
              <w:spacing w:after="0"/>
              <w:rPr>
                <w:sz w:val="14"/>
                <w:szCs w:val="14"/>
                <w:color w:val="auto"/>
              </w:rPr>
            </w:pPr>
          </w:p>
        </w:tc>
        <w:tc>
          <w:tcPr>
            <w:tcW w:w="19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8"/>
                <w:szCs w:val="8"/>
                <w:b w:val="1"/>
                <w:bCs w:val="1"/>
                <w:color w:val="auto"/>
              </w:rPr>
              <w:t>(1)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Controlled</w:t>
            </w: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Central</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19,022</w:t>
            </w: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14,662</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Northwest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0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0" w:type="dxa"/>
            <w:vAlign w:val="bottom"/>
          </w:tcPr>
          <w:p>
            <w:pPr>
              <w:spacing w:after="0"/>
              <w:rPr>
                <w:sz w:val="1"/>
                <w:szCs w:val="1"/>
                <w:color w:val="auto"/>
              </w:rPr>
            </w:pPr>
          </w:p>
        </w:tc>
      </w:tr>
      <w:tr>
        <w:trPr>
          <w:trHeight w:val="171"/>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51,193</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hanging="264"/>
        <w:spacing w:after="0"/>
        <w:tabs>
          <w:tab w:leader="none" w:pos="4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51,193 owned lots as of March 31, 2026, 34,168 were raw/under development lots and 17,025 were finished lots.</w:t>
      </w:r>
    </w:p>
    <w:p>
      <w:pPr>
        <w:spacing w:after="0" w:line="200" w:lineRule="exact"/>
        <w:rPr>
          <w:rFonts w:ascii="Times New Roman" w:cs="Times New Roman" w:eastAsia="Times New Roman" w:hAnsi="Times New Roman"/>
          <w:sz w:val="13"/>
          <w:szCs w:val="13"/>
          <w:color w:val="auto"/>
        </w:rPr>
      </w:pPr>
    </w:p>
    <w:p>
      <w:pPr>
        <w:spacing w:after="0" w:line="230"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Homes in Inventory</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When entering a new community, we intend to build a sufficient number of move-in ready homes to meet our budgets. We base future home starts on home closings. As homes are closed, we start more homes to maintain our inventory. As of March 31, 2026, we had a total of 2,266 completed homes, including information centers, and 1,355 homes in progress.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 and Labor</w:t>
      </w:r>
    </w:p>
    <w:p>
      <w:pPr>
        <w:spacing w:after="0" w:line="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When constructing homes, we use various materials and components. We generally contract for our materials and labor at a fixed price for the anticipated construction period of our homes. This allows us to mitigate the risks associated with increases in building materials and labor costs between the time construction begins on a home and the time it is closed. Typically, the raw materials and most of the components used in our business are readily available in the United States. We purchase some components and materials centrally to achieve volume discounts, a practice that often reduces costs and ensures timely deliveries. We typically do not store significant inventories of construction materials, except for work in progress materials for homes under construction. In addition, the majority of our raw materials are supplied to us by our subcontractors and are included in the price of our contract with such subcontractors. Most of the raw materials necessary for our subcontractors are standard items carried by major suppliers. Our construction work is substantially completed by third-party subcontractors, most of whom are non-unionized. We continue to monitor the supply markets to achieve the best prices available. Typically, the price changes that most significantly influence our operations are price increases in labor, commodities and lumber. In future quarters, we could see various cost pressures associated with inflation similar to the cost pressures experienced in the last few years. Generally, we have successfully increased the sales prices of our homes to absorb these increased costs or have successfully made cost-effective changes as we endeavor to keep our homes affordable.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In all of our reportable segments, we have historically experienced similar variability in our results of operations and in capital requirements from quarter to quarter due to the seasonal nature of the homebuilding industry. We generally close more homes in our second, third and fourth quarters. Thus, our revenues may fluctuate on a quarterly basis and we may have higher capital requirements in our second, third and fourth quarters in order to maintain our inventory levels. Our revenues and capital requirements are generally similar across our second, third and fourth quarters.</w:t>
      </w:r>
    </w:p>
    <w:p>
      <w:pPr>
        <w:spacing w:after="0" w:line="2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a result of seasonal activity, our quarterly results of operations and financial position at the end of a particular quarter, especially the first quarter, are not necessarily representative of the results we expect at year end. We expect this seasonal pattern to continue in the long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March 31, 2026, we had $60.9 million of cash and cash equivalents. Cash flows for each of our active communities depend on the status of the development cycle and can differ substantially from reported earnings.</w:t>
      </w:r>
    </w:p>
    <w:p>
      <w:pPr>
        <w:spacing w:after="0" w:line="39"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Our principal uses of capital are operating expenses, land and lot purchases, lot development, home construction, interest costs on our indebtedness and the payment of various liabilities. In addition, we may purchase land, lots, homes under construction or other assets as part of an acquisition and repurchase shares of our common stock. Early stages of development or expansion require significant cash outlays for land acquisitions, land development, plats, vertical development, construction of information centers, general landscaping, and other amenities. Because these costs are a component of our inventory and are not recognized in our statement of operations until a home closes, we incur significant cash outflows prior to recognition of home sales revenues. In the later stages of an active community, cash inflows may exceed home sales revenues reported for financial statement purposes, as the costs associated with home and land construction were previously incurred.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Debt to Capital Ratio</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of March 31, 2026, our net debt to capital ratio was 44.0%. We use this ratio as a supplemental measure of financial leverage and capital efficiency. This ratio is calculated as net debt (which is total debt minus cash and cash equivalents) divided by net debt plus total equity. Our net debt to capital ratio reflects our balanced approach to financing growth while maintaining liquidity. We continue to monitor leverage levels in light of evolving market conditions to keep an eye on capital efficiency and shareholder value. At March 31, 2026, we were in compliance with all of the covenants contained in the Credit Agreement (as defined herein), including minimum tangible net worth, maximum leverage ratio, minimum liquidity amount, and minimum EBITDA to interest expense ratio, and with all of the covenants contained in the LGI Living Loan Agreement (as defined herein). As of March 31, 2026, $294.2 million was available to borrow under the Credit Agreement, providing ample liquidity to support operations and growth initiatives.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Liquidity and Capital Resources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generally rely on our ability to finance our operations by generating operating cash flows and borrowing under the Credit Agreement to adequately fund our short-term working capital obligations and to purchase land and other assets, develop lots and homes and repurchase shares of our common stock. As needed, we will consider accessing the debt and equity capital markets as part of our ongoing financing strategy. We rely on our ability to obtain performance, payment and completion surety bonds as well as letters of credit to finance our projects. Furthermore, we utilize, on a limited and strategic basis, land banking financing arrangements to access short-term liquidity.</w:t>
      </w:r>
    </w:p>
    <w:p>
      <w:pPr>
        <w:spacing w:after="0" w:line="5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the date of this Quarterly Report on Form 10-Q, we believe that we will be able to fund our current and foreseeable liquidity needs for at least the next twelve months with our cash on hand, cash generated from operations and cash expected to be available from the Credit Agreement or through accessing debt or equity capital, as needed. However, our ability to engage in the transactions described above may be constrained by volatile or tight economic, capital, credit and financial market conditions, as well as moderated investor or lender interest or capacity and our liquidity, leverage and net worth, and we can provide no assurance as to successfully completing, the costs of, or the operational limitations arising from any one or series of such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Liquidity and Capital Resources</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believe that our long-term principal uses of liquidity and capital resources will be inventory related purchases concerning land, lot development, repurchases of shares of our common stock, other capital expenditures, and principal and interest payments on our debt obligations maturing between 2028 and 2032. We believe that we will be able to fund our long-term liquidity needs with cash generated from operations and cash expected to be available to borrow under the Credit Agreement or through accessing debt or equity capital, as needed, although no assurance can be provided that such additional debt or equity capital will be available when needed or on terms that we find attractive. Additionally, we may further utilize, on a limited and strategic basis, land banking financing arrangements to maximize long-term liquidity for lot development projects where we have sufficient finished lot availability in certain markets. To the extent these sources of capital are insufficient to meet our needs, we may also conduct additional public or private offerings of our securities, refinance our indebtedness, or dispose of certain assets to fund our operating activities and capital needs.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We are a party to the Fifth Amended and Restated Credit Agreement, dated as of April 28, 2021, with several financial institutions, and Wells Fargo Bank, National Association, as administrative agent (as amended to date, the “Credit Agreement”). The Credit Agreement provides for a $1.1825 billion revolving credit facility, which can be increased at the request of the Company by up to $95.0 million, subject to the terms and conditions of the Credit Agreement. The Credit Agreement matures on April 28, 2029 with respect to $972.5 million, or 82.2%, of the $1.1825 billion of commitments thereunder and on April 28, 2028 with respect to 17.8% of the commitments thereunder.</w:t>
      </w:r>
    </w:p>
    <w:p>
      <w:pPr>
        <w:spacing w:after="0" w:line="5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Before each anniversary of the Credit Agreement, we may request a one-year extension of its maturity date. The Credit Agreement is guaranteed by, among others, each of our subsidiaries that have gross assets of at least $0.5 million, other than subsidiaries whose sole purpose is to own and operate single-family rental homes.</w:t>
      </w:r>
    </w:p>
    <w:p>
      <w:pPr>
        <w:spacing w:after="0" w:line="40"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The borrowings and letters of credit outstanding under the Credit Agreement, together with the outstanding principal balance of our 8.750% Senior Notes due 2028 (the “2028 Senior Notes”), our 4.000% Senior Notes due 2029 (the “2029 Senior Notes”) and our 7.000% Senior Notes due 2032 (the “2032 Senior Notes”), may not exceed the borrowing base under the Credit Agreement. The borrowing base primarily consists of a percentage of commercial land, land held for development, lots under development and finished lots held by the Company and its subsidiaries that guarantee the obligations under the Credit Agreement. As of March 31, 2026, the borrowing base under the Credit Agreement was $2.0 billion, of which the maximum available to borrow was $2.0 billion. As of March 31, 2026, borrowings under the Credit Agreement and the outstanding principal amount of the 2028 Senior Notes, the 2029 Senior Notes and the 2032 Senior Notes totaled approximately $1.7 billion, $19.3 million of letters of credit were outstanding and $294.2 million was available to borrow under the Credit Agreement.</w:t>
      </w:r>
    </w:p>
    <w:p>
      <w:pPr>
        <w:spacing w:after="0" w:line="7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Borrowings under the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March 31, 2026, the Applicable Margin was 1.85%, and SOFR was 3.67%, subject to the 0.50% SOFR floor as included in the Credit Agreement.</w:t>
      </w:r>
    </w:p>
    <w:p>
      <w:pPr>
        <w:spacing w:after="0" w:line="5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Credit Agreement contains various financial covenants, including a minimum tangible net worth, a maximum leverage ratio, a minimum liquidity amount and a minimum EBITDA to interest expense ratio. The Credit Agreement contains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various covenants that, among other restrictions, (i) limit the amount of our additional debt and our ability to make certain investments and (ii) restrict the repurchase of shares and payment of dividends through December 31, 2026. At March 31, 2026, we were in compliance with all of the covenants contained in the Credit Agreement.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LGI Living Loan Agreement</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23, 2025, the Company’s indirect,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w:t>
      </w:r>
    </w:p>
    <w:p>
      <w:pPr>
        <w:spacing w:after="0" w:line="5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 of March 31,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 to accelerate the maturity of the loan and exercise other rights and remedies. At March 31, 2026, we were in compliance with all of the covenants contained in the LGI Living Loan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Notes Offering</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spacing w:after="0" w:line="6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spacing w:after="0" w:line="5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Letters of Credit, Surety Bonds and Financial Guarantees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are often required to provide letters of credit and surety bonds to secure our performance under construction contracts, development agreements and other arrangements. The amount of such obligations outstanding at any time varies in accordance with our pending development activities. In the event any such bonds or letters of credit are drawn upon, we would be obligated to reimburse the issuer of such bonds or letters of credit.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these letters of credit, surety bonds and financial guarantees, we are committed to perform certain development and construction activities and provide certain guarantees in the normal course of business. Outstanding letters of credit, surety bonds and financial guarantees under these arrangements totaled $380.1 million as of March 31, 2026. Although significant development and construction activities have been completed related to the improvements at these sites, the letters of credit and surety bonds are not generally released until all development and construction activities are completed. We do not believe that it is probable that any outstanding letters of credit, surety bonds or financial guarantees as of March 31, 2026 will be drawn upon.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Repurchase Program</w:t>
      </w:r>
    </w:p>
    <w:p>
      <w:pPr>
        <w:spacing w:after="0" w:line="9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In February 2022, our Board of Directors (the “Board”) approved a $200.0 million increase to our previously authorized stock repurchase program, pursuant to which we may purchase up to $550.0 million of shares of our common stock through open market transactions, privately negotiated transactions or otherwise in accordance with applicable laws. During the three months ended March 31, 2026, we did not repurchase any shares of our common stock. During the three months ended March 31, 2025, we repurchased 41,685 shares of our common stock at a total cost, including commissions and excise taxes, of $3.1 million, to be held as treasury stock. A total of 3,656,592 shares of our common stock has been repurchased since our stock repurchase program commenced in 2018. As of March 31, 2026, we may purchase up to $157.3 million of shares of our common stock under our stock repurchase program. The timing, amount and other terms and conditions of any repurchases of shares of our common stock under our stock repurchase program will be determined by our management at its discretion based on a variety of factors, including the market price of our common stock, corporate considerations, general market and economic conditions and legal requirements. Our stock repurchase program may be modified, discontinued or suspended at any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4"/>
          <w:szCs w:val="14"/>
          <w:color w:val="auto"/>
        </w:rPr>
        <w:t>Net cash used in operating activities was $55.5 million during the three months ended March 31, 2026. The primary drivers of operating cash flows are typically cash earnings and changes in inventory levels, including land acquisition and development. Net cash used in operating activities during the three months ended March 31, 2026 was primarily driven by cash outflow of $99.1 million in real estate inventory, which was primarily related to our homes under construction and land acquisitions and development level of activity, a $12.5 million decrease in the net change in accounts receivable, partially offset by the $22.4 million increase in accounts payable, and the $13.2 million increase in the net change in other assets and the $12.1 million increase in the net change related to pre-acquisition costs and deposits, inventory impairment, and compensation expense for equity awards.</w:t>
      </w:r>
    </w:p>
    <w:p>
      <w:pPr>
        <w:spacing w:after="0" w:line="5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was $127.1 million during the three months ended March 31, 2025. The primary drivers of operating cash flows are typically cash earnings and changes in inventory levels, including land acquisition and development. Net cash used in operating activities during the three months ended March 31, 2025 was primarily driven by cash outflow from the $186.6 million decrease in the net change in real estate inventory, which was primarily related to our homes under construction and land acquisitions and development level of activity and a $27.9 million decrease in the net change in accrued expenses and other liabilities, partially offset by increases in the net changes of $43.8 million in other assets and $18.6 million in accounts payable.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was $6.4 million during the three months ended March 31, 2026, primarily due to $8.9 million in proceeds from the sale of property and equipment, partially offset by an additional $1.9 million investment in unconsolidated entities.</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$0.2 million during the three months ended March 31, 2025, primarily due to additional $1.5 million investment in unconsolidated entities, offset by $2.1 million in return of capital.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was $48.7 million during the three months ended March 31, 2026, primarily driven by $116.2 million of borrowings under the Credit Agreement, offset by $65.0 million of repayments on the Credit Agreement and payments of $3.8 million related to a financing arrangement with a third-party land banker.</w:t>
      </w:r>
    </w:p>
    <w:p>
      <w:pPr>
        <w:spacing w:after="0" w:line="3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$131.8 million during the three months ended March 31, 2025, primarily driven by $172.5 million of borrowings under our credit agreement then in effect, offset by $30.0 million of repayments on our credit agreement then in effect and payments of $8.6 million related to a financing arrangement with a third-party land banker. In addition, during the three months ended March 31, 2025, we repurchased $3.1 million of shares of our common stock under our stock repurchase program to be held as treasury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business can be adversely impacted by inflation, primarily from higher land, financing, labor, material and construction costs. In addition, inflation can lead to higher mortgage rates, which can significantly affect the affordability of mortgage financing to homebuyers. See “Industry and Economic Risks—Inflation could adversely affect our business and financial results” in Item 1A. Risk Factors in Part I of our Annual Report on Form 10-K for the fiscal year ended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p>
      <w:pPr>
        <w:spacing w:after="0" w:line="94" w:lineRule="exact"/>
        <w:rPr>
          <w:sz w:val="20"/>
          <w:szCs w:val="20"/>
          <w:color w:val="auto"/>
        </w:rPr>
      </w:pPr>
    </w:p>
    <w:p>
      <w:pPr>
        <w:jc w:val="both"/>
        <w:ind w:firstLine="318"/>
        <w:spacing w:after="0" w:line="290"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As of March 31, 2026, there have been no material changes to our known contractual and other obligations appearing in the “Material Cash Requirements” section of </w:t>
      </w:r>
      <w:r>
        <w:rPr>
          <w:rFonts w:ascii="Times New Roman" w:cs="Times New Roman" w:eastAsia="Times New Roman" w:hAnsi="Times New Roman"/>
          <w:sz w:val="14"/>
          <w:szCs w:val="14"/>
          <w:i w:val="1"/>
          <w:iCs w:val="1"/>
          <w:color w:val="auto"/>
        </w:rPr>
        <w:t>Management’s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Analysis of Financial Condition and Results of Operations </w:t>
      </w:r>
      <w:r>
        <w:rPr>
          <w:rFonts w:ascii="Times New Roman" w:cs="Times New Roman" w:eastAsia="Times New Roman" w:hAnsi="Times New Roman"/>
          <w:sz w:val="14"/>
          <w:szCs w:val="14"/>
          <w:color w:val="auto"/>
        </w:rPr>
        <w:t>included in our</w:t>
      </w:r>
      <w:r>
        <w:rPr>
          <w:rFonts w:ascii="Times New Roman" w:cs="Times New Roman" w:eastAsia="Times New Roman" w:hAnsi="Times New Roman"/>
          <w:sz w:val="14"/>
          <w:szCs w:val="14"/>
          <w:i w:val="1"/>
          <w:iCs w:val="1"/>
          <w:color w:val="auto"/>
        </w:rPr>
        <w:t xml:space="preserve"> </w:t>
      </w:r>
      <w:hyperlink r:id="rId48">
        <w:r>
          <w:rPr>
            <w:rFonts w:ascii="Times New Roman" w:cs="Times New Roman" w:eastAsia="Times New Roman" w:hAnsi="Times New Roman"/>
            <w:sz w:val="14"/>
            <w:szCs w:val="14"/>
            <w:u w:val="single" w:color="auto"/>
            <w:color w:val="0000FF"/>
          </w:rPr>
          <w:t>Annual Report on Form 10-K</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color w:val="auto"/>
        </w:rPr>
        <w:t>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fiscal year ended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Management bases its estimates and judgments on historical experience and on various other factors that are believed to be reasonable under the circumstances, the results of which form the basis for making judgments about the carrying value of assets and liabilities that are not readily apparent from other sources. On an ongoing basis, management evaluates such estimates and judgments and makes adjustments as deemed necessary. Actual results could differ from these estimates using different estimates and assumptions, or if conditions are significantly different in the future.</w:t>
      </w:r>
    </w:p>
    <w:p>
      <w:pPr>
        <w:spacing w:after="0" w:line="5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We believe that there have been no significant changes to our critical accounting policies and estimates during the three months ended March 31, 2026 as compared to those disclosed in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i w:val="1"/>
          <w:iCs w:val="1"/>
          <w:color w:val="0000FF"/>
        </w:rPr>
        <w:t>’</w:t>
      </w:r>
      <w:r>
        <w:rPr>
          <w:rFonts w:ascii="Times New Roman" w:cs="Times New Roman" w:eastAsia="Times New Roman" w:hAnsi="Times New Roman"/>
          <w:sz w:val="14"/>
          <w:szCs w:val="14"/>
          <w:i w:val="1"/>
          <w:iCs w:val="1"/>
          <w:color w:val="auto"/>
        </w:rPr>
        <w:t xml:space="preserve">s Discussion and Analysis of Financial Condition and Results of Operations </w:t>
      </w:r>
      <w:r>
        <w:rPr>
          <w:rFonts w:ascii="Times New Roman" w:cs="Times New Roman" w:eastAsia="Times New Roman" w:hAnsi="Times New Roman"/>
          <w:sz w:val="14"/>
          <w:szCs w:val="14"/>
          <w:color w:val="auto"/>
        </w:rPr>
        <w:t>included in our Annual Report on Form 10-K for the fiscal year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about Forward-Looking Statements</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“will” or other similar words.</w:t>
      </w:r>
    </w:p>
    <w:p>
      <w:pPr>
        <w:spacing w:after="0" w:line="5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materially from those expressed or implied in forward-looking statements:</w:t>
      </w:r>
    </w:p>
    <w:p>
      <w:pPr>
        <w:spacing w:after="0" w:line="51" w:lineRule="exact"/>
        <w:rPr>
          <w:sz w:val="20"/>
          <w:szCs w:val="20"/>
          <w:color w:val="auto"/>
        </w:rPr>
      </w:pPr>
    </w:p>
    <w:p>
      <w:pPr>
        <w:jc w:val="both"/>
        <w:ind w:left="460" w:hanging="264"/>
        <w:spacing w:after="0" w:line="264" w:lineRule="auto"/>
        <w:tabs>
          <w:tab w:leader="none" w:pos="4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changes either nationally or in the markets in which we operate, including, among other things, potential impacts from political uncertainty, civil unrest, increases in unemployment, volatility of mortgage interest rates, supply chain disruptions (including due to the conflict between Russia and Ukraine and the wide-ranging sanctions the United States and other countries have imposed or may further impose on Russian business sectors, financial organizations, individuals and raw materials and the conflict in the Middle East), inflation, the possibility of recession and decreases in housing prices;</w:t>
      </w:r>
    </w:p>
    <w:p>
      <w:pPr>
        <w:spacing w:after="0" w:line="1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slowdown in the homebuilding industry or changes in population growth rates in our markets;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uncertainty in the credit markets and broader financial markets;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elevated mortgage interest rates for prolonged periods, disruption in the terms or availability of mortgage financing or increase in the number of foreclosures in our markets;</w:t>
      </w:r>
    </w:p>
    <w:p>
      <w:pPr>
        <w:spacing w:after="0" w:line="51" w:lineRule="exact"/>
        <w:rPr>
          <w:rFonts w:ascii="Times New Roman" w:cs="Times New Roman" w:eastAsia="Times New Roman" w:hAnsi="Times New Roman"/>
          <w:sz w:val="14"/>
          <w:szCs w:val="14"/>
          <w:color w:val="auto"/>
        </w:rPr>
      </w:pPr>
    </w:p>
    <w:p>
      <w:pPr>
        <w:ind w:left="460" w:hanging="264"/>
        <w:spacing w:after="0" w:line="284" w:lineRule="auto"/>
        <w:tabs>
          <w:tab w:leader="none" w:pos="4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global trade, including as a result of tariffs, trade restrictions, retaliatory trade measures or the effect of such actions on trading relationships between the United States and other countries;</w:t>
      </w: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cyclical and seasonal nature of our business;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 and financial condition;</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business and investment strategy;</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operations in recently opened new markets and our ability to expand into additional new markets;</w:t>
      </w:r>
    </w:p>
    <w:p>
      <w:pPr>
        <w:spacing w:after="0" w:line="51" w:lineRule="exact"/>
        <w:rPr>
          <w:rFonts w:ascii="Times New Roman" w:cs="Times New Roman" w:eastAsia="Times New Roman" w:hAnsi="Times New Roman"/>
          <w:sz w:val="14"/>
          <w:szCs w:val="14"/>
          <w:color w:val="auto"/>
        </w:rPr>
      </w:pPr>
    </w:p>
    <w:p>
      <w:pPr>
        <w:ind w:left="460" w:hanging="264"/>
        <w:spacing w:after="0" w:line="284" w:lineRule="auto"/>
        <w:tabs>
          <w:tab w:leader="none" w:pos="4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extend our business model to building homes with higher price points, developing larger communities and producing and selling multi-unit products, town houses, wholesale products, and acreage home sites;</w:t>
      </w: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our projects successfully or within expected timeframes;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potential acquisition targets, close such acquisitions and realize the benefits of such acquisitions;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taxes or government fees;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the market value of our land portfolio;</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any acquisitions with our existing operations;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land to acquire and our ability to acquire such land on favorable terms or at all;</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terms and deployment of capital and ability to meet our ongoing liquidity needs;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of the Credit Agreement lender group;</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availability of insurance and surety bonds;</w:t>
      </w:r>
    </w:p>
    <w:p>
      <w:pPr>
        <w:spacing w:after="0" w:line="51" w:lineRule="exact"/>
        <w:rPr>
          <w:rFonts w:ascii="Times New Roman" w:cs="Times New Roman" w:eastAsia="Times New Roman" w:hAnsi="Times New Roman"/>
          <w:sz w:val="14"/>
          <w:szCs w:val="14"/>
          <w:color w:val="auto"/>
        </w:rPr>
      </w:pPr>
    </w:p>
    <w:p>
      <w:pPr>
        <w:ind w:left="460" w:hanging="264"/>
        <w:spacing w:after="0" w:line="284" w:lineRule="auto"/>
        <w:tabs>
          <w:tab w:leader="none" w:pos="4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of or increased prices for labor, land, or raw materials used in land development and housing construction, including due to tariffs or trade restrictions imposed by the U.S. government, and any effect on trading relationships between the United States and other countries;</w:t>
      </w: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land development or home construction resulting from natural disasters, adverse weather conditions or other events outside our control;</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uninsured losses in excess of insurance limits;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leverage and future debt service obligations;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liabilities under, or the failure or inability to comply with, governmental laws and regulations, including environmental, privacy and security laws and regulations;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receipt of regulatory approvals and the opening of projects;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and nature of our competition;</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system failures, cyber incidents or breaches in security;</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key personnel;</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 epidemic or pandemic and its effect on us, our business, customers, subcontractors and suppliers (including associated supply chain disruptions);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or poor relations with the residents of our projects;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and future litigation, arbitration or other claims;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qualified personnel and third-party contractors and subcontractors;</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the ongoing U.S. government shutdown and any future U.S. government shutdown;</w:t>
      </w:r>
    </w:p>
    <w:p>
      <w:pPr>
        <w:spacing w:after="0" w:line="51"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inherent in our business;</w:t>
      </w:r>
    </w:p>
    <w:p>
      <w:pPr>
        <w:spacing w:after="0" w:line="49"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we discuss under the section entitled “</w:t>
      </w:r>
      <w:r>
        <w:rPr>
          <w:rFonts w:ascii="Times New Roman" w:cs="Times New Roman" w:eastAsia="Times New Roman" w:hAnsi="Times New Roman"/>
          <w:sz w:val="14"/>
          <w:szCs w:val="14"/>
          <w:i w:val="1"/>
          <w:iCs w:val="1"/>
          <w:u w:val="single" w:color="auto"/>
          <w:color w:val="0000FF"/>
        </w:rPr>
        <w:t>Management’s Discussion and Analysis of Financial Condition and Results of Operations</w:t>
      </w:r>
      <w:r>
        <w:rPr>
          <w:rFonts w:ascii="Times New Roman" w:cs="Times New Roman" w:eastAsia="Times New Roman" w:hAnsi="Times New Roman"/>
          <w:sz w:val="14"/>
          <w:szCs w:val="14"/>
          <w:color w:val="auto"/>
        </w:rPr>
        <w:t>”; and</w:t>
      </w:r>
    </w:p>
    <w:p>
      <w:pPr>
        <w:spacing w:after="0" w:line="5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risk factors set forth in our </w:t>
      </w:r>
      <w:hyperlink r:id="rId48">
        <w:r>
          <w:rPr>
            <w:rFonts w:ascii="Times New Roman" w:cs="Times New Roman" w:eastAsia="Times New Roman" w:hAnsi="Times New Roman"/>
            <w:sz w:val="14"/>
            <w:szCs w:val="14"/>
            <w:u w:val="single" w:color="auto"/>
            <w:color w:val="0000FF"/>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w:t>
      </w:r>
    </w:p>
    <w:p>
      <w:pPr>
        <w:spacing w:after="0" w:line="9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We expressly disclaim any intent, obligation or undertaking to update or revise any forward-looking statements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3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operations are interest rate sensitive. As overall housing demand is adversely affected by increases in interest rates, a significant increase in mortgage interest rates may negatively affect the ability of homebuyers to secure adequate financing. Higher interest rates could adversely affect our revenues, gross margin and net income.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Interest Rate Risk</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utilize both fixed-rate debt and variable-rate debt as part of financing our operations. We do not have the obligation to prepay our senior notes or our fixed-rate inventory related obligations prior to maturity, and, as a result, interest rate risk and changes in fair market value should not have a significant impact on our fixed-rate debt.</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currently do not hold derivatives for trading or speculative purposes, but we may do so in the future. Many of the statements contained in this section are forward looking and should be read in conjunction with our disclosures under the heading “</w:t>
      </w:r>
      <w:r>
        <w:rPr>
          <w:rFonts w:ascii="Times New Roman" w:cs="Times New Roman" w:eastAsia="Times New Roman" w:hAnsi="Times New Roman"/>
          <w:sz w:val="14"/>
          <w:szCs w:val="14"/>
          <w:u w:val="single" w:color="auto"/>
          <w:color w:val="0000FF"/>
        </w:rPr>
        <w:t>Cautionary Statement about Forward-Looking Statements</w:t>
      </w:r>
      <w:r>
        <w:rPr>
          <w:rFonts w:ascii="Times New Roman" w:cs="Times New Roman" w:eastAsia="Times New Roman" w:hAnsi="Times New Roman"/>
          <w:sz w:val="14"/>
          <w:szCs w:val="14"/>
          <w:color w:val="auto"/>
        </w:rPr>
        <w:t>” above.</w:t>
      </w:r>
    </w:p>
    <w:p>
      <w:pPr>
        <w:spacing w:after="0" w:line="3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are exposed to market risks related to fluctuations in interest rates on our outstanding variable rate indebtedness. As of March 31, 2026, we had $578.9 million of variable rate indebtedness outstanding under the Credit Agreement. All of the outstanding borrowings under the Credit Agreement are at variable rates based on SOFR. The interest rate for our variable rate indebtedness as of March 31, 2026 was SOFR plus 1.85%. At March 31, 2026, SOFR was 3.67%, subject to the 0.50% SOFR floor as included in the Credit Agreement. A hypothetical 100 basis point increase in the average interest rate above the SOFR floor on our variable rate indebtedness would increase our annual interest cost by approximately $5.8 million.</w:t>
      </w:r>
    </w:p>
    <w:p>
      <w:pPr>
        <w:spacing w:after="0" w:line="5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Based on the current interest rate management policies we have in place with respect to our outstanding indebtedness, we do not believe that the future interest rate risks related to our existing indebtedness will have a material adverse impact on our financial position, results of operations or liquidity.</w:t>
      </w:r>
    </w:p>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2026. Based upon that evaluation, our Chief Executive Officer and Chief Financial Officer concluded that our disclosure controls and procedures are effective to ensure information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management’s override of controls.</w:t>
      </w:r>
    </w:p>
    <w:p>
      <w:pPr>
        <w:spacing w:after="0" w:line="6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such term is defined in Exchange Act Rule 13a-15(f) occurred during the three months ended March 31, 2026 that has materially affected, or is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homebuilders in the normal course of business. In the opinion of management, these matters will not have a material effect on our consolidated financial position, results of operations or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we previously disclosed in our Annual Report on Form 10-K for the fiscal year ended December 31, 2025.</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Retention Arrangements and Annual Cash Bonus Plan Modification</w:t>
      </w:r>
    </w:p>
    <w:p>
      <w:pPr>
        <w:spacing w:after="0" w:line="9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On February 13, 2026, in order to enhance the retention of certain key officers of the Company, the Compensation Committee of the Board authorized and approved retention arrangements with the executive officers of the Company and certain other officers of the Company. Certain officers of the Company and one executive officer (Mr. Garber) will receive a one-time cash payment during the first quarter of 2026. Mr. Garber will receive a one-time cash payment of $150,000. The other executive officers of the Company (Messrs. Lipar, Snider and Merdian) and one other officer of the Company have their one-time cash payments tied to the Company’s Net Debt to Capitalization as of June 30, 2026. The target payment for Messrs. Lipar, Snider and Merdian is $600,000, $350,000 and $300,000, respectively. If the Company’s Net Debt to Capitalization as of June 30, 2026 is: greater than 45%, then the cash payment is 50% of target; between 40% and 45%, then the cash payment is 100% of target; and below 40%, then the cash payment is 150% of target. All of the retention cash payments are subject to payback if the recipient voluntarily leaves the Company before December 31, 2026.</w:t>
      </w:r>
    </w:p>
    <w:p>
      <w:pPr>
        <w:spacing w:after="0" w:line="6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the Compensation Committee of the Board modified the potential bonus to be paid under the Company’s 2026 annual cash bonus plan for all participants in the plan, including Messrs. Lipar, Snider, Merdian, and Garber. Such participants will receive an additional bonus equal to 25% of such participant’s 2026 bonus paid under the Company’s annual cash bonus plan if the Company’s return on equity (“ROE”) for 2026 is above 10%. ROE for purposes of this potential bonus is defined as the Company’s net income for the fiscal year ended December 31, 2026 as reported in the Company’s audited Statement of Operations for the fiscal year ended December 31, 2026 divided by the average of the Company’s total equity as of March 31, 2026, June 30, 2026, September 30, 2026, and December 31, 2026 as reported in the respective Balance Sheet of the Company for each such date.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to Lipar Employment Agreement</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April 22, 2026, the Company entered into an amendment to the employment agreement with Eric Lipar, our Chief Executive Officer and Chairman of the Board (the “Lipar Employment Agreement”). The amendment provides that, if both the Lipar Employment Agreement and the Change in Control Severance Agreement between the Company and Mr. Lipar (the “Lipar CIC Agreement”) provide for benefits upon a qualifying change in control, Mr. Lipar is entitled to receive the benefits that are, in the aggregate, more favorable to him under either the Lipar Employment Agreement or the Lipar CIC Agreement, but not both.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Arrangements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no director or officer (as defined in Rule 16a-1(f) under the Exchange Act) of the Company adopted or terminated a “Rule 10b5-1 trading arrangement” or “non-Rule 10b5-1 trading arrangement,” as each term is defined in Item 408(a) of Regulation S-K.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05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170"/>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140" w:type="dxa"/>
            <w:vAlign w:val="bottom"/>
            <w:gridSpan w:val="3"/>
          </w:tcPr>
          <w:p>
            <w:pPr>
              <w:spacing w:after="0"/>
              <w:rPr>
                <w:sz w:val="14"/>
                <w:szCs w:val="14"/>
                <w:color w:val="auto"/>
              </w:rPr>
            </w:pPr>
          </w:p>
        </w:tc>
      </w:tr>
      <w:tr>
        <w:trPr>
          <w:trHeight w:val="192"/>
        </w:trPr>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shd w:val="clear" w:color="auto" w:fill="CCEEFF"/>
          </w:tcPr>
          <w:p>
            <w:pPr>
              <w:spacing w:after="0"/>
              <w:rPr>
                <w:sz w:val="16"/>
                <w:szCs w:val="16"/>
                <w:color w:val="auto"/>
              </w:rPr>
            </w:pPr>
          </w:p>
        </w:tc>
        <w:tc>
          <w:tcPr>
            <w:tcW w:w="9980" w:type="dxa"/>
            <w:vAlign w:val="bottom"/>
            <w:gridSpan w:val="5"/>
            <w:shd w:val="clear" w:color="auto" w:fill="CCEEFF"/>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Certificate of Incorporation of LGI Homes, Inc. (incorporated by reference to Exhibit 3.1 to the Registration Statement on Form S-1 (File No. 33-190853) of LGI Homes, Inc.</w:t>
              </w:r>
            </w:hyperlink>
          </w:p>
        </w:tc>
      </w:tr>
      <w:tr>
        <w:trPr>
          <w:trHeight w:val="118"/>
        </w:trPr>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9960" w:type="dxa"/>
            <w:vAlign w:val="bottom"/>
            <w:tcBorders>
              <w:top w:val="single" w:sz="8" w:color="0000FF"/>
            </w:tcBorders>
            <w:gridSpan w:val="4"/>
            <w:shd w:val="clear" w:color="auto" w:fill="CCEEFF"/>
          </w:tcPr>
          <w:p>
            <w:pPr>
              <w:spacing w:after="0" w:line="118" w:lineRule="exact"/>
              <w:rPr>
                <w:rFonts w:ascii="Times New Roman" w:cs="Times New Roman" w:eastAsia="Times New Roman" w:hAnsi="Times New Roman"/>
                <w:sz w:val="13"/>
                <w:szCs w:val="13"/>
                <w:color w:val="0000FF"/>
              </w:rPr>
            </w:pPr>
            <w:hyperlink r:id="rId53">
              <w:r>
                <w:rPr>
                  <w:rFonts w:ascii="Times New Roman" w:cs="Times New Roman" w:eastAsia="Times New Roman" w:hAnsi="Times New Roman"/>
                  <w:sz w:val="13"/>
                  <w:szCs w:val="13"/>
                  <w:color w:val="0000FF"/>
                </w:rPr>
                <w:t>filed with the SEC on August 28, 2013).</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32"/>
        </w:trPr>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13"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3.3**</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101.INS†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ind w:right="20"/>
        <w:spacing w:after="0" w:line="239" w:lineRule="auto"/>
        <w:rPr>
          <w:rFonts w:ascii="Times New Roman" w:cs="Times New Roman" w:eastAsia="Times New Roman" w:hAnsi="Times New Roman"/>
          <w:sz w:val="14"/>
          <w:szCs w:val="14"/>
          <w:u w:val="single" w:color="auto"/>
          <w:color w:val="0000FF"/>
        </w:rPr>
      </w:pPr>
      <w:hyperlink r:id="rId54">
        <w:r>
          <w:rPr>
            <w:rFonts w:ascii="Times New Roman" w:cs="Times New Roman" w:eastAsia="Times New Roman" w:hAnsi="Times New Roman"/>
            <w:sz w:val="14"/>
            <w:szCs w:val="14"/>
            <w:u w:val="single" w:color="auto"/>
            <w:color w:val="0000FF"/>
          </w:rPr>
          <w:t>Certificate of Amendment of Certificate of Incorporation of LGI Homes, Inc. (incorporated by reference to Exhibit 3.1 to the Current Report on Form 8-K (File No. 001-</w:t>
        </w:r>
      </w:hyperlink>
      <w:hyperlink r:id="rId54">
        <w:r>
          <w:rPr>
            <w:rFonts w:ascii="Times New Roman" w:cs="Times New Roman" w:eastAsia="Times New Roman" w:hAnsi="Times New Roman"/>
            <w:sz w:val="14"/>
            <w:szCs w:val="14"/>
            <w:u w:val="single" w:color="auto"/>
            <w:color w:val="0000FF"/>
          </w:rPr>
          <w:t>36126) of LGI Homes, Inc. filed with the SEC on May 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-200660</wp:posOffset>
            </wp:positionV>
            <wp:extent cx="7161530" cy="208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81915</wp:posOffset>
            </wp:positionV>
            <wp:extent cx="7161530" cy="222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137" w:lineRule="exact"/>
        <w:rPr>
          <w:sz w:val="20"/>
          <w:szCs w:val="20"/>
          <w:color w:val="auto"/>
        </w:rPr>
      </w:pPr>
    </w:p>
    <w:p>
      <w:pPr>
        <w:ind w:right="20"/>
        <w:spacing w:after="0" w:line="239" w:lineRule="auto"/>
        <w:rPr>
          <w:rFonts w:ascii="Times New Roman" w:cs="Times New Roman" w:eastAsia="Times New Roman" w:hAnsi="Times New Roman"/>
          <w:sz w:val="14"/>
          <w:szCs w:val="14"/>
          <w:u w:val="single" w:color="auto"/>
          <w:color w:val="0000FF"/>
        </w:rPr>
      </w:pPr>
      <w:hyperlink r:id="rId57">
        <w:r>
          <w:rPr>
            <w:rFonts w:ascii="Times New Roman" w:cs="Times New Roman" w:eastAsia="Times New Roman" w:hAnsi="Times New Roman"/>
            <w:sz w:val="14"/>
            <w:szCs w:val="14"/>
            <w:u w:val="single" w:color="auto"/>
            <w:color w:val="0000FF"/>
          </w:rPr>
          <w:t>Bylaws of LGI Homes, Inc. (incorporated by reference to Exhibit 3.2 to the Registration Statement on Form S-1 (File No. 333-190853) of LGI Homes, Inc. filed with the SEC</w:t>
        </w:r>
      </w:hyperlink>
      <w:r>
        <w:rPr>
          <w:rFonts w:ascii="Times New Roman" w:cs="Times New Roman" w:eastAsia="Times New Roman" w:hAnsi="Times New Roman"/>
          <w:sz w:val="14"/>
          <w:szCs w:val="14"/>
          <w:u w:val="single" w:color="auto"/>
          <w:color w:val="0000FF"/>
        </w:rPr>
        <w:t xml:space="preserve"> </w:t>
      </w:r>
      <w:hyperlink r:id="rId57">
        <w:r>
          <w:rPr>
            <w:rFonts w:ascii="Times New Roman" w:cs="Times New Roman" w:eastAsia="Times New Roman" w:hAnsi="Times New Roman"/>
            <w:sz w:val="14"/>
            <w:szCs w:val="14"/>
            <w:u w:val="single" w:color="auto"/>
            <w:color w:val="0000FF"/>
          </w:rPr>
          <w:t>on August 28, 2013).</w:t>
        </w:r>
      </w:hyperlink>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Amendment to Employment Agreement, dated as of April 22, 2026, between LGI Homes, Inc. and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-99060</wp:posOffset>
            </wp:positionV>
            <wp:extent cx="716153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CEO 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CFO Certification,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Pursuant to 18 U.S.C. Section 1350, as adopted Pursuant to Section 906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-99060</wp:posOffset>
            </wp:positionV>
            <wp:extent cx="716153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88900</wp:posOffset>
            </wp:positionV>
            <wp:extent cx="7161530"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-99060</wp:posOffset>
            </wp:positionV>
            <wp:extent cx="7161530"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680"/>
            <w:col w:w="9980"/>
          </w:cols>
          <w:pgMar w:left="300" w:top="123" w:right="319" w:bottom="1440" w:gutter="0" w:footer="0" w:header="0"/>
          <w:type w:val="continuous"/>
        </w:sectPr>
      </w:pPr>
    </w:p>
    <w:p>
      <w:pPr>
        <w:spacing w:after="0" w:line="85" w:lineRule="exact"/>
        <w:rPr>
          <w:sz w:val="20"/>
          <w:szCs w:val="20"/>
          <w:color w:val="auto"/>
        </w:rPr>
      </w:pPr>
    </w:p>
    <w:p>
      <w:pPr>
        <w:ind w:left="800" w:hanging="781"/>
        <w:spacing w:after="0"/>
        <w:tabs>
          <w:tab w:leader="none" w:pos="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800" w:hanging="781"/>
        <w:spacing w:after="0"/>
        <w:tabs>
          <w:tab w:leader="none" w:pos="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43" w:lineRule="exact"/>
        <w:rPr>
          <w:sz w:val="20"/>
          <w:szCs w:val="20"/>
          <w:color w:val="auto"/>
        </w:rPr>
      </w:pPr>
    </w:p>
    <w:p>
      <w:pPr>
        <w:ind w:left="800" w:right="220" w:hanging="781"/>
        <w:spacing w:after="0" w:line="255" w:lineRule="auto"/>
        <w:tabs>
          <w:tab w:leader="none" w:pos="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deemed not filed or a part of a registration statement or Annual Report for purposes of Sections 11 and 12 of the Securities Act of 1933, as amended, is deemed not filed for purposes of Section 18 of the Securities Exchange Act of 1934, as amended, and otherwise is not subject to liability under such sections.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LGI Homes,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April 28, 2026</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4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Eric Lipar</w:t>
            </w:r>
          </w:p>
        </w:tc>
      </w:tr>
      <w:tr>
        <w:trPr>
          <w:trHeight w:val="167"/>
        </w:trPr>
        <w:tc>
          <w:tcPr>
            <w:tcW w:w="6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Lipar</w:t>
            </w:r>
          </w:p>
        </w:tc>
      </w:tr>
      <w:tr>
        <w:trPr>
          <w:trHeight w:val="184"/>
        </w:trPr>
        <w:tc>
          <w:tcPr>
            <w:tcW w:w="6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r>
      <w:tr>
        <w:trPr>
          <w:trHeight w:val="382"/>
        </w:trPr>
        <w:tc>
          <w:tcPr>
            <w:tcW w:w="640" w:type="dxa"/>
            <w:vAlign w:val="bottom"/>
          </w:tcPr>
          <w:p>
            <w:pPr>
              <w:spacing w:after="0"/>
              <w:rPr>
                <w:sz w:val="24"/>
                <w:szCs w:val="24"/>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April 28, 2026</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4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Charles Merdian</w:t>
            </w:r>
          </w:p>
        </w:tc>
      </w:tr>
      <w:tr>
        <w:trPr>
          <w:trHeight w:val="167"/>
        </w:trPr>
        <w:tc>
          <w:tcPr>
            <w:tcW w:w="6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Charles Merdian</w:t>
            </w:r>
          </w:p>
        </w:tc>
      </w:tr>
      <w:tr>
        <w:trPr>
          <w:trHeight w:val="184"/>
        </w:trPr>
        <w:tc>
          <w:tcPr>
            <w:tcW w:w="6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40"/>
          </w:cols>
          <w:pgMar w:left="300" w:top="123" w:right="35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CEO CERTIFICATION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 - 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Lipar, certify that:</w:t>
      </w:r>
    </w:p>
    <w:p>
      <w:pPr>
        <w:spacing w:after="0" w:line="179" w:lineRule="exact"/>
        <w:rPr>
          <w:sz w:val="20"/>
          <w:szCs w:val="20"/>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LGI Homes, Inc. (the “Registrant”);</w:t>
      </w:r>
    </w:p>
    <w:p>
      <w:pPr>
        <w:spacing w:after="0" w:line="178" w:lineRule="exact"/>
        <w:rPr>
          <w:rFonts w:ascii="Times New Roman" w:cs="Times New Roman" w:eastAsia="Times New Roman" w:hAnsi="Times New Roman"/>
          <w:sz w:val="14"/>
          <w:szCs w:val="14"/>
          <w:color w:val="auto"/>
        </w:rPr>
      </w:pPr>
    </w:p>
    <w:p>
      <w:pPr>
        <w:ind w:firstLine="5"/>
        <w:spacing w:after="0" w:line="287" w:lineRule="auto"/>
        <w:tabs>
          <w:tab w:leader="none" w:pos="15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6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4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April 28, 2026</w:t>
      </w:r>
    </w:p>
    <w:p>
      <w:pPr>
        <w:spacing w:after="0" w:line="23" w:lineRule="exact"/>
        <w:rPr>
          <w:sz w:val="20"/>
          <w:szCs w:val="20"/>
          <w:color w:val="auto"/>
        </w:rPr>
      </w:pPr>
    </w:p>
    <w:p>
      <w:pPr>
        <w:ind w:left="6560" w:right="3940" w:hanging="6545"/>
        <w:spacing w:after="0" w:line="276" w:lineRule="auto"/>
        <w:tabs>
          <w:tab w:leader="none" w:pos="6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Eric Lipar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-119380</wp:posOffset>
            </wp:positionV>
            <wp:extent cx="300482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p>
      <w:pPr>
        <w:spacing w:after="0" w:line="1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LGI Homes, Inc.</w:t>
      </w:r>
    </w:p>
    <w:p>
      <w:pPr>
        <w:sectPr>
          <w:pgSz w:w="11900" w:h="16838" w:orient="portrait"/>
          <w:cols w:equalWidth="0" w:num="1">
            <w:col w:w="11280"/>
          </w:cols>
          <w:pgMar w:left="300" w:top="728"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CFO CERTIFICATION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 - 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Charles Merdian, certify that:</w:t>
      </w:r>
    </w:p>
    <w:p>
      <w:pPr>
        <w:spacing w:after="0" w:line="179" w:lineRule="exact"/>
        <w:rPr>
          <w:sz w:val="20"/>
          <w:szCs w:val="20"/>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LGI Homes, Inc. (the “Registrant”);</w:t>
      </w:r>
    </w:p>
    <w:p>
      <w:pPr>
        <w:spacing w:after="0" w:line="178" w:lineRule="exact"/>
        <w:rPr>
          <w:rFonts w:ascii="Times New Roman" w:cs="Times New Roman" w:eastAsia="Times New Roman" w:hAnsi="Times New Roman"/>
          <w:sz w:val="14"/>
          <w:szCs w:val="14"/>
          <w:color w:val="auto"/>
        </w:rPr>
      </w:pPr>
    </w:p>
    <w:p>
      <w:pPr>
        <w:ind w:firstLine="5"/>
        <w:spacing w:after="0" w:line="287" w:lineRule="auto"/>
        <w:tabs>
          <w:tab w:leader="none" w:pos="1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6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firstLine="5"/>
        <w:spacing w:after="0" w:line="287" w:lineRule="auto"/>
        <w:tabs>
          <w:tab w:leader="none" w:pos="14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April 28, 2026</w:t>
      </w:r>
    </w:p>
    <w:p>
      <w:pPr>
        <w:spacing w:after="0" w:line="23" w:lineRule="exact"/>
        <w:rPr>
          <w:sz w:val="20"/>
          <w:szCs w:val="20"/>
          <w:color w:val="auto"/>
        </w:rPr>
      </w:pPr>
    </w:p>
    <w:p>
      <w:pPr>
        <w:ind w:left="6560" w:right="3560" w:hanging="6545"/>
        <w:spacing w:after="0" w:line="276" w:lineRule="auto"/>
        <w:tabs>
          <w:tab w:leader="none" w:pos="6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Charles Merdian Charles Merdian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-119380</wp:posOffset>
            </wp:positionV>
            <wp:extent cx="300482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1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LGI Homes, Inc.</w:t>
      </w:r>
    </w:p>
    <w:p>
      <w:pPr>
        <w:sectPr>
          <w:pgSz w:w="11900" w:h="16838" w:orient="portrait"/>
          <w:cols w:equalWidth="0" w:num="1">
            <w:col w:w="11280"/>
          </w:cols>
          <w:pgMar w:left="300" w:top="728"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LGI Homes, Inc. (the “Company”) on Form 10-Q for the quarterly period ended March 31, 2026 as filed with the Securities and Exchange Commission on the date hereof (the “Report”), I, Eric Lipar, Chief Executive Officer of the Company, certify, pursuant to 18 U.S.C. Section 1350, as adopted pursuant to Section 906 of the Sarbanes-Oxley Act of 2002, that to the best of my knowledge:</w:t>
      </w:r>
    </w:p>
    <w:p>
      <w:pPr>
        <w:spacing w:after="0" w:line="136"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 78m or 78o(d));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April 28, 2026</w:t>
            </w:r>
          </w:p>
        </w:tc>
        <w:tc>
          <w:tcPr>
            <w:tcW w:w="4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Eric Lipar</w:t>
            </w:r>
          </w:p>
        </w:tc>
      </w:tr>
      <w:tr>
        <w:trPr>
          <w:trHeight w:val="167"/>
        </w:trPr>
        <w:tc>
          <w:tcPr>
            <w:tcW w:w="654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Eric Lipar</w:t>
            </w:r>
          </w:p>
        </w:tc>
      </w:tr>
      <w:tr>
        <w:trPr>
          <w:trHeight w:val="180"/>
        </w:trPr>
        <w:tc>
          <w:tcPr>
            <w:tcW w:w="654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r>
      <w:tr>
        <w:trPr>
          <w:trHeight w:val="184"/>
        </w:trPr>
        <w:tc>
          <w:tcPr>
            <w:tcW w:w="654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LGI Homes, Inc.</w:t>
            </w:r>
          </w:p>
        </w:tc>
      </w:tr>
    </w:tbl>
    <w:p>
      <w:pPr>
        <w:sectPr>
          <w:pgSz w:w="11900" w:h="16838" w:orient="portrait"/>
          <w:cols w:equalWidth="0" w:num="1">
            <w:col w:w="11280"/>
          </w:cols>
          <w:pgMar w:left="300" w:top="897"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LGI Homes, Inc. (the “Company”) on Form 10-Q for the quarterly period ended March 31, 2026 as filed with the Securities and Exchange Commission on the date hereof (the “Report”), I, Charles Merdian, Chief Financial Officer of the Company, certify, pursuant to 18 U.S.C. Section 1350, as adopted pursuant to Section 906 of the Sarbanes-Oxley Act of 2002, that to the best of my knowledge:</w:t>
      </w:r>
    </w:p>
    <w:p>
      <w:pPr>
        <w:spacing w:after="0" w:line="136"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 78m or 78o(d));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April 28, 2026</w:t>
            </w:r>
          </w:p>
        </w:tc>
        <w:tc>
          <w:tcPr>
            <w:tcW w:w="4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Charles Merdian</w:t>
            </w:r>
          </w:p>
        </w:tc>
      </w:tr>
      <w:tr>
        <w:trPr>
          <w:trHeight w:val="167"/>
        </w:trPr>
        <w:tc>
          <w:tcPr>
            <w:tcW w:w="654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Charles Merdian</w:t>
            </w:r>
          </w:p>
        </w:tc>
      </w:tr>
      <w:tr>
        <w:trPr>
          <w:trHeight w:val="180"/>
        </w:trPr>
        <w:tc>
          <w:tcPr>
            <w:tcW w:w="654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654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LGI Homes, Inc.</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48" Type="http://schemas.openxmlformats.org/officeDocument/2006/relationships/hyperlink" Target="https://www.sec.gov/ix?doc=/Archives/edgar/data/0001580670/000158067026000019/lgih-20251231.htm" TargetMode="External"/><Relationship Id="rId53" Type="http://schemas.openxmlformats.org/officeDocument/2006/relationships/hyperlink" Target="https://www.sec.gov/Archives/edgar/data/1580670/000119312513348860/d560611dex31.htm" TargetMode="External"/><Relationship Id="rId54" Type="http://schemas.openxmlformats.org/officeDocument/2006/relationships/hyperlink" Target="https://www.sec.gov/Archives/edgar/data/1580670/000158067023000068/exhibit31-certificateofame.htm" TargetMode="External"/><Relationship Id="rId57" Type="http://schemas.openxmlformats.org/officeDocument/2006/relationships/hyperlink" Target="https://www.sec.gov/Archives/edgar/data/1580670/000119312513348860/d5606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2026-04-28T16:48:03Z</dcterms:created>
  <dcterms:modified xsi:type="dcterms:W3CDTF">2026-04-28T16:48:03Z</dcterms:modified>
</cp:coreProperties>
</file>