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0" w:lineRule="exact"/>
        <w:rPr>
          <w:sz w:val="24"/>
          <w:szCs w:val="24"/>
          <w:color w:val="auto"/>
        </w:rPr>
      </w:pPr>
    </w:p>
    <w:p>
      <w:pPr>
        <w:ind w:left="760" w:hanging="698"/>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7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11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154"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65" w:lineRule="exact"/>
        <w:rPr>
          <w:sz w:val="24"/>
          <w:szCs w:val="24"/>
          <w:color w:val="auto"/>
        </w:rPr>
      </w:pPr>
    </w:p>
    <w:tbl>
      <w:tblPr>
        <w:tblLayout w:type="fixed"/>
        <w:tblInd w:w="3660"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Arial" w:cs="Arial" w:eastAsia="Arial" w:hAnsi="Arial"/>
                <w:sz w:val="16"/>
                <w:szCs w:val="16"/>
                <w:b w:val="1"/>
                <w:bCs w:val="1"/>
                <w:color w:val="auto"/>
                <w:w w:val="97"/>
              </w:rPr>
              <w:t>For the transition period from</w:t>
            </w:r>
          </w:p>
        </w:tc>
        <w:tc>
          <w:tcPr>
            <w:tcW w:w="780" w:type="dxa"/>
            <w:vAlign w:val="bottom"/>
            <w:tcBorders>
              <w:bottom w:val="single" w:sz="8" w:color="auto"/>
            </w:tcBorders>
          </w:tcPr>
          <w:p>
            <w:pPr>
              <w:spacing w:after="0"/>
              <w:rPr>
                <w:sz w:val="16"/>
                <w:szCs w:val="16"/>
                <w:color w:val="auto"/>
              </w:rPr>
            </w:pPr>
          </w:p>
        </w:tc>
        <w:tc>
          <w:tcPr>
            <w:tcW w:w="30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7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312"/>
        </w:trPr>
        <w:tc>
          <w:tcPr>
            <w:tcW w:w="3300" w:type="dxa"/>
            <w:vAlign w:val="bottom"/>
            <w:gridSpan w:val="3"/>
          </w:tcPr>
          <w:p>
            <w:pPr>
              <w:ind w:left="760"/>
              <w:spacing w:after="0"/>
              <w:rPr>
                <w:sz w:val="20"/>
                <w:szCs w:val="20"/>
                <w:color w:val="auto"/>
              </w:rPr>
            </w:pPr>
            <w:r>
              <w:rPr>
                <w:rFonts w:ascii="Arial" w:cs="Arial" w:eastAsia="Arial" w:hAnsi="Arial"/>
                <w:sz w:val="16"/>
                <w:szCs w:val="16"/>
                <w:b w:val="1"/>
                <w:bCs w:val="1"/>
                <w:color w:val="auto"/>
                <w:w w:val="94"/>
              </w:rPr>
              <w:t>Commission file number 001-36126</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209550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LGI HOMES, INC.</w:t>
      </w:r>
    </w:p>
    <w:p>
      <w:pPr>
        <w:spacing w:after="0" w:line="8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240" w:top="630" w:right="419" w:bottom="1440" w:gutter="0" w:footer="0" w:header="0"/>
        </w:sectPr>
      </w:pPr>
    </w:p>
    <w:p>
      <w:pPr>
        <w:spacing w:after="0" w:line="297" w:lineRule="exact"/>
        <w:rPr>
          <w:sz w:val="24"/>
          <w:szCs w:val="24"/>
          <w:color w:val="auto"/>
        </w:rPr>
      </w:pPr>
    </w:p>
    <w:p>
      <w:pPr>
        <w:ind w:left="30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46-3088013</w:t>
      </w:r>
    </w:p>
    <w:p>
      <w:pPr>
        <w:spacing w:after="0" w:line="86" w:lineRule="exact"/>
        <w:rPr>
          <w:sz w:val="24"/>
          <w:szCs w:val="24"/>
          <w:color w:val="auto"/>
        </w:rPr>
      </w:pPr>
    </w:p>
    <w:p>
      <w:pPr>
        <w:sectPr>
          <w:pgSz w:w="11900" w:h="16838" w:orient="portrait"/>
          <w:cols w:equalWidth="0" w:num="2">
            <w:col w:w="7100" w:space="720"/>
            <w:col w:w="3420"/>
          </w:cols>
          <w:pgMar w:left="240" w:top="630" w:right="419" w:bottom="1440" w:gutter="0" w:footer="0" w:header="0"/>
          <w:type w:val="continuous"/>
        </w:sectPr>
      </w:pPr>
    </w:p>
    <w:p>
      <w:pPr>
        <w:ind w:left="15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240" w:top="630" w:right="419" w:bottom="1440" w:gutter="0" w:footer="0" w:header="0"/>
          <w:type w:val="continuous"/>
        </w:sectPr>
      </w:pPr>
    </w:p>
    <w:p>
      <w:pPr>
        <w:spacing w:after="0" w:line="213" w:lineRule="exact"/>
        <w:rPr>
          <w:sz w:val="24"/>
          <w:szCs w:val="24"/>
          <w:color w:val="auto"/>
        </w:rPr>
      </w:pPr>
    </w:p>
    <w:p>
      <w:pPr>
        <w:ind w:left="1200"/>
        <w:spacing w:after="0"/>
        <w:tabs>
          <w:tab w:leader="none" w:pos="3980" w:val="left"/>
        </w:tabs>
        <w:rPr>
          <w:sz w:val="20"/>
          <w:szCs w:val="20"/>
          <w:color w:val="auto"/>
        </w:rPr>
      </w:pPr>
      <w:r>
        <w:rPr>
          <w:rFonts w:ascii="Arial" w:cs="Arial" w:eastAsia="Arial" w:hAnsi="Arial"/>
          <w:sz w:val="16"/>
          <w:szCs w:val="16"/>
          <w:b w:val="1"/>
          <w:bCs w:val="1"/>
          <w:color w:val="auto"/>
        </w:rPr>
        <w:t>1450 Lake Robbins Drive, Suite 430,</w:t>
      </w:r>
      <w:r>
        <w:rPr>
          <w:sz w:val="20"/>
          <w:szCs w:val="20"/>
          <w:color w:val="auto"/>
        </w:rPr>
        <w:tab/>
      </w:r>
      <w:r>
        <w:rPr>
          <w:rFonts w:ascii="Arial" w:cs="Arial" w:eastAsia="Arial" w:hAnsi="Arial"/>
          <w:sz w:val="15"/>
          <w:szCs w:val="15"/>
          <w:b w:val="1"/>
          <w:bCs w:val="1"/>
          <w:color w:val="auto"/>
        </w:rPr>
        <w:t>The Woodlands, TX</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77380</w:t>
      </w:r>
    </w:p>
    <w:p>
      <w:pPr>
        <w:spacing w:after="0" w:line="86" w:lineRule="exact"/>
        <w:rPr>
          <w:sz w:val="24"/>
          <w:szCs w:val="24"/>
          <w:color w:val="auto"/>
        </w:rPr>
      </w:pPr>
    </w:p>
    <w:p>
      <w:pPr>
        <w:sectPr>
          <w:pgSz w:w="11900" w:h="16838" w:orient="portrait"/>
          <w:cols w:equalWidth="0" w:num="2">
            <w:col w:w="7300" w:space="720"/>
            <w:col w:w="3220"/>
          </w:cols>
          <w:pgMar w:left="240" w:top="630" w:right="419" w:bottom="1440" w:gutter="0" w:footer="0" w:header="0"/>
          <w:type w:val="continuous"/>
        </w:sectPr>
      </w:pPr>
    </w:p>
    <w:p>
      <w:pPr>
        <w:ind w:left="22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180" w:space="720"/>
            <w:col w:w="3340"/>
          </w:cols>
          <w:pgMar w:left="240" w:top="630" w:right="419" w:bottom="1440" w:gutter="0" w:footer="0" w:header="0"/>
          <w:type w:val="continuous"/>
        </w:sectPr>
      </w:pPr>
    </w:p>
    <w:p>
      <w:pPr>
        <w:spacing w:after="0" w:line="33"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(281) 362-8998</w:t>
      </w:r>
    </w:p>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6"/>
          <w:szCs w:val="16"/>
          <w:color w:val="auto"/>
        </w:rPr>
        <w:t>’</w:t>
      </w:r>
      <w:r>
        <w:rPr>
          <w:rFonts w:ascii="Arial" w:cs="Arial" w:eastAsia="Arial" w:hAnsi="Arial"/>
          <w:sz w:val="13"/>
          <w:szCs w:val="13"/>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243840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240" w:top="630" w:right="419" w:bottom="1440" w:gutter="0" w:footer="0" w:header="0"/>
          <w:type w:val="continuous"/>
        </w:sectPr>
      </w:pPr>
    </w:p>
    <w:p>
      <w:pPr>
        <w:spacing w:after="0" w:line="122" w:lineRule="exact"/>
        <w:rPr>
          <w:sz w:val="24"/>
          <w:szCs w:val="24"/>
          <w:color w:val="auto"/>
        </w:rPr>
      </w:pPr>
    </w:p>
    <w:p>
      <w:pPr>
        <w:jc w:val="center"/>
        <w:ind w:right="920"/>
        <w:spacing w:after="0"/>
        <w:rPr>
          <w:sz w:val="20"/>
          <w:szCs w:val="20"/>
          <w:color w:val="auto"/>
        </w:rPr>
      </w:pPr>
      <w:r>
        <w:rPr>
          <w:rFonts w:ascii="Arial" w:cs="Arial" w:eastAsia="Arial" w:hAnsi="Arial"/>
          <w:sz w:val="14"/>
          <w:szCs w:val="14"/>
          <w:b w:val="1"/>
          <w:bCs w:val="1"/>
          <w:color w:val="auto"/>
        </w:rPr>
        <w:t>Title of each class</w:t>
      </w:r>
    </w:p>
    <w:p>
      <w:pPr>
        <w:spacing w:after="0" w:line="109" w:lineRule="exact"/>
        <w:rPr>
          <w:sz w:val="24"/>
          <w:szCs w:val="24"/>
          <w:color w:val="auto"/>
        </w:rPr>
      </w:pPr>
    </w:p>
    <w:p>
      <w:pPr>
        <w:jc w:val="center"/>
        <w:ind w:right="920"/>
        <w:spacing w:after="0"/>
        <w:rPr>
          <w:sz w:val="20"/>
          <w:szCs w:val="20"/>
          <w:color w:val="auto"/>
        </w:rPr>
      </w:pPr>
      <w:r>
        <w:rPr>
          <w:rFonts w:ascii="Arial" w:cs="Arial" w:eastAsia="Arial" w:hAnsi="Arial"/>
          <w:sz w:val="12"/>
          <w:szCs w:val="12"/>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340"/>
        <w:spacing w:after="0"/>
        <w:rPr>
          <w:sz w:val="20"/>
          <w:szCs w:val="20"/>
          <w:color w:val="auto"/>
        </w:rPr>
      </w:pPr>
      <w:r>
        <w:rPr>
          <w:rFonts w:ascii="Arial" w:cs="Arial" w:eastAsia="Arial" w:hAnsi="Arial"/>
          <w:sz w:val="12"/>
          <w:szCs w:val="12"/>
          <w:b w:val="1"/>
          <w:bCs w:val="1"/>
          <w:color w:val="auto"/>
        </w:rPr>
        <w:t>Trading symbol(s)</w:t>
      </w:r>
    </w:p>
    <w:p>
      <w:pPr>
        <w:spacing w:after="0" w:line="132"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LGIH</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26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32" w:lineRule="exact"/>
        <w:rPr>
          <w:sz w:val="24"/>
          <w:szCs w:val="24"/>
          <w:color w:val="auto"/>
        </w:rPr>
      </w:pPr>
    </w:p>
    <w:p>
      <w:pPr>
        <w:jc w:val="center"/>
        <w:ind w:right="260"/>
        <w:spacing w:after="0"/>
        <w:rPr>
          <w:sz w:val="20"/>
          <w:szCs w:val="20"/>
          <w:color w:val="auto"/>
        </w:rPr>
      </w:pPr>
      <w:r>
        <w:rPr>
          <w:rFonts w:ascii="Arial" w:cs="Arial" w:eastAsia="Arial" w:hAnsi="Arial"/>
          <w:sz w:val="14"/>
          <w:szCs w:val="14"/>
          <w:b w:val="1"/>
          <w:bCs w:val="1"/>
          <w:color w:val="auto"/>
        </w:rPr>
        <w:t>NASDAQ Global Select Market</w:t>
      </w:r>
    </w:p>
    <w:p>
      <w:pPr>
        <w:spacing w:after="0" w:line="200" w:lineRule="exact"/>
        <w:rPr>
          <w:sz w:val="24"/>
          <w:szCs w:val="24"/>
          <w:color w:val="auto"/>
        </w:rPr>
      </w:pPr>
    </w:p>
    <w:p>
      <w:pPr>
        <w:sectPr>
          <w:pgSz w:w="11900" w:h="16838" w:orient="portrait"/>
          <w:cols w:equalWidth="0" w:num="3">
            <w:col w:w="4400" w:space="720"/>
            <w:col w:w="2460" w:space="720"/>
            <w:col w:w="2940"/>
          </w:cols>
          <w:pgMar w:left="240" w:top="630" w:right="419" w:bottom="1440" w:gutter="0" w:footer="0" w:header="0"/>
          <w:type w:val="continuous"/>
        </w:sectPr>
      </w:pP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226695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240"/>
          </w:cols>
          <w:pgMar w:left="240" w:top="630" w:right="419" w:bottom="1440" w:gutter="0" w:footer="0" w:header="0"/>
          <w:type w:val="continuous"/>
        </w:sectPr>
      </w:pPr>
    </w:p>
    <w:p>
      <w:pPr>
        <w:spacing w:after="0" w:line="200" w:lineRule="exact"/>
        <w:rPr>
          <w:sz w:val="24"/>
          <w:szCs w:val="24"/>
          <w:color w:val="auto"/>
        </w:rPr>
      </w:pPr>
    </w:p>
    <w:p>
      <w:pPr>
        <w:spacing w:after="0" w:line="340" w:lineRule="exact"/>
        <w:rPr>
          <w:sz w:val="24"/>
          <w:szCs w:val="24"/>
          <w:color w:val="auto"/>
        </w:rPr>
      </w:pPr>
    </w:p>
    <w:p>
      <w:pPr>
        <w:ind w:right="2460"/>
        <w:spacing w:after="0" w:line="344"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400"/>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240" w:top="630" w:right="419" w:bottom="1440" w:gutter="0" w:footer="0" w:header="0"/>
          <w:type w:val="continuous"/>
        </w:sectPr>
      </w:pPr>
    </w:p>
    <w:bookmarkStart w:id="1" w:name="page2"/>
    <w:bookmarkEnd w:id="1"/>
    <w:p>
      <w:pPr>
        <w:ind w:right="2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2" w:lineRule="exact"/>
        <w:rPr>
          <w:sz w:val="20"/>
          <w:szCs w:val="20"/>
          <w:color w:val="auto"/>
        </w:rPr>
      </w:pPr>
    </w:p>
    <w:tbl>
      <w:tblPr>
        <w:tblLayout w:type="fixed"/>
        <w:tblInd w:w="1620" w:type="dxa"/>
        <w:tblCellMar>
          <w:top w:w="0" w:type="dxa"/>
          <w:left w:w="0" w:type="dxa"/>
          <w:bottom w:w="0" w:type="dxa"/>
          <w:right w:w="0" w:type="dxa"/>
        </w:tblCellMar>
      </w:tblPr>
      <w:tr>
        <w:trPr>
          <w:trHeight w:val="283"/>
        </w:trPr>
        <w:tc>
          <w:tcPr>
            <w:tcW w:w="2400" w:type="dxa"/>
            <w:vAlign w:val="bottom"/>
          </w:tcPr>
          <w:p>
            <w:pPr>
              <w:jc w:val="center"/>
              <w:ind w:right="879"/>
              <w:spacing w:after="0"/>
              <w:rPr>
                <w:sz w:val="20"/>
                <w:szCs w:val="20"/>
                <w:color w:val="auto"/>
              </w:rPr>
            </w:pPr>
            <w:r>
              <w:rPr>
                <w:rFonts w:ascii="Arial" w:cs="Arial" w:eastAsia="Arial" w:hAnsi="Arial"/>
                <w:sz w:val="16"/>
                <w:szCs w:val="16"/>
                <w:color w:val="auto"/>
                <w:w w:val="90"/>
              </w:rPr>
              <w:t>Large accelerated filer</w:t>
            </w:r>
          </w:p>
        </w:tc>
        <w:tc>
          <w:tcPr>
            <w:tcW w:w="20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2"/>
        </w:trPr>
        <w:tc>
          <w:tcPr>
            <w:tcW w:w="2400" w:type="dxa"/>
            <w:vAlign w:val="bottom"/>
          </w:tcPr>
          <w:p>
            <w:pPr>
              <w:jc w:val="center"/>
              <w:ind w:right="879"/>
              <w:spacing w:after="0"/>
              <w:rPr>
                <w:sz w:val="20"/>
                <w:szCs w:val="20"/>
                <w:color w:val="auto"/>
              </w:rPr>
            </w:pPr>
            <w:r>
              <w:rPr>
                <w:rFonts w:ascii="Arial" w:cs="Arial" w:eastAsia="Arial" w:hAnsi="Arial"/>
                <w:sz w:val="16"/>
                <w:szCs w:val="16"/>
                <w:color w:val="auto"/>
                <w:w w:val="92"/>
              </w:rPr>
              <w:t>Non-accelerated filer</w:t>
            </w:r>
          </w:p>
        </w:tc>
        <w:tc>
          <w:tcPr>
            <w:tcW w:w="20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59"/>
        </w:trPr>
        <w:tc>
          <w:tcPr>
            <w:tcW w:w="2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0" w:lineRule="exact"/>
        <w:rPr>
          <w:sz w:val="20"/>
          <w:szCs w:val="20"/>
          <w:color w:val="auto"/>
        </w:rPr>
      </w:pPr>
    </w:p>
    <w:p>
      <w:pPr>
        <w:spacing w:after="0" w:line="278" w:lineRule="exact"/>
        <w:rPr>
          <w:sz w:val="20"/>
          <w:szCs w:val="20"/>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5" w:lineRule="exact"/>
        <w:rPr>
          <w:sz w:val="20"/>
          <w:szCs w:val="20"/>
          <w:color w:val="auto"/>
        </w:rPr>
      </w:pPr>
    </w:p>
    <w:p>
      <w:pPr>
        <w:spacing w:after="0" w:line="184" w:lineRule="exact"/>
        <w:tabs>
          <w:tab w:leader="none" w:pos="80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27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June 28, 2019, the aggregate market value of the registrant’s common stock held by non-affiliates of the registrant was approximately $1.4 billion based on the closing price of such stock on such date as reported on the NASDAQ Stock Market. As of February 21, 2020, there were 25,359,409 shares of the registrant’s common stock, par value $.01 per share, issued and outstanding.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right="460"/>
        <w:spacing w:after="0" w:line="257" w:lineRule="auto"/>
        <w:rPr>
          <w:rFonts w:ascii="Arial" w:cs="Arial" w:eastAsia="Arial" w:hAnsi="Arial"/>
          <w:sz w:val="16"/>
          <w:szCs w:val="16"/>
          <w:color w:val="0000EE"/>
        </w:rPr>
      </w:pPr>
      <w:r>
        <w:rPr>
          <w:rFonts w:ascii="Arial" w:cs="Arial" w:eastAsia="Arial" w:hAnsi="Arial"/>
          <w:sz w:val="16"/>
          <w:szCs w:val="16"/>
          <w:color w:val="auto"/>
        </w:rPr>
        <w:t xml:space="preserve">Portions from the registrant’s definitive Proxy Statement for the 2020 Annual Meeting of Stockholders are incorporated herein by reference (to the extent indicated) into </w:t>
      </w:r>
      <w:hyperlink w:anchor="page74">
        <w:r>
          <w:rPr>
            <w:rFonts w:ascii="Arial" w:cs="Arial" w:eastAsia="Arial" w:hAnsi="Arial"/>
            <w:sz w:val="16"/>
            <w:szCs w:val="16"/>
            <w:u w:val="single" w:color="auto"/>
            <w:color w:val="0000EE"/>
          </w:rPr>
          <w:t>Part III</w:t>
        </w:r>
      </w:hyperlink>
      <w:r>
        <w:rPr>
          <w:rFonts w:ascii="Arial" w:cs="Arial" w:eastAsia="Arial" w:hAnsi="Arial"/>
          <w:sz w:val="16"/>
          <w:szCs w:val="16"/>
          <w:color w:val="000000"/>
        </w:rPr>
        <w:t>.</w:t>
      </w:r>
    </w:p>
    <w:p>
      <w:pPr>
        <w:sectPr>
          <w:pgSz w:w="11900" w:h="16838" w:orient="portrait"/>
          <w:cols w:equalWidth="0" w:num="1">
            <w:col w:w="11400"/>
          </w:cols>
          <w:pgMar w:left="240" w:top="3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80" w:type="dxa"/>
            <w:vAlign w:val="bottom"/>
            <w:gridSpan w:val="16"/>
          </w:tcPr>
          <w:p>
            <w:pPr>
              <w:ind w:left="48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gridSpan w:val="12"/>
          </w:tcPr>
          <w:p>
            <w:pPr>
              <w:ind w:left="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300" w:type="dxa"/>
            <w:vAlign w:val="bottom"/>
            <w:gridSpan w:val="19"/>
          </w:tcPr>
          <w:p>
            <w:pPr>
              <w:ind w:left="14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20" w:type="dxa"/>
            <w:vAlign w:val="bottom"/>
            <w:tcBorders>
              <w:top w:val="single" w:sz="8" w:color="0000EE"/>
            </w:tcBorders>
            <w:gridSpan w:val="2"/>
          </w:tcPr>
          <w:p>
            <w:pPr>
              <w:spacing w:after="0"/>
              <w:rPr>
                <w:sz w:val="21"/>
                <w:szCs w:val="21"/>
                <w:color w:val="auto"/>
              </w:rPr>
            </w:pPr>
          </w:p>
        </w:tc>
        <w:tc>
          <w:tcPr>
            <w:tcW w:w="4320" w:type="dxa"/>
            <w:vAlign w:val="bottom"/>
            <w:gridSpan w:val="9"/>
          </w:tcPr>
          <w:p>
            <w:pPr>
              <w:spacing w:after="0"/>
              <w:rPr>
                <w:sz w:val="21"/>
                <w:szCs w:val="21"/>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2">
              <w:r>
                <w:rPr>
                  <w:rFonts w:ascii="Arial" w:cs="Arial" w:eastAsia="Arial" w:hAnsi="Arial"/>
                  <w:sz w:val="18"/>
                  <w:szCs w:val="18"/>
                  <w:color w:val="0000EE"/>
                  <w:w w:val="80"/>
                </w:rPr>
                <w:t>Item 1A.</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3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27">
              <w:r>
                <w:rPr>
                  <w:rFonts w:ascii="Arial" w:cs="Arial" w:eastAsia="Arial" w:hAnsi="Arial"/>
                  <w:sz w:val="18"/>
                  <w:szCs w:val="18"/>
                  <w:color w:val="0000EE"/>
                  <w:w w:val="80"/>
                </w:rPr>
                <w:t>Item 1B.</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134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2.</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134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240" w:type="dxa"/>
            <w:vAlign w:val="bottom"/>
            <w:gridSpan w:val="30"/>
          </w:tcPr>
          <w:p>
            <w:pPr>
              <w:ind w:left="140"/>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34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9240" w:type="dxa"/>
            <w:vAlign w:val="bottom"/>
            <w:gridSpan w:val="30"/>
          </w:tcPr>
          <w:p>
            <w:pPr>
              <w:ind w:left="140"/>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134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4300" w:type="dxa"/>
            <w:vAlign w:val="bottom"/>
            <w:gridSpan w:val="8"/>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78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9240" w:type="dxa"/>
            <w:vAlign w:val="bottom"/>
            <w:gridSpan w:val="30"/>
          </w:tcPr>
          <w:p>
            <w:pPr>
              <w:ind w:left="140"/>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134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9240" w:type="dxa"/>
            <w:vAlign w:val="bottom"/>
            <w:gridSpan w:val="30"/>
          </w:tcPr>
          <w:p>
            <w:pPr>
              <w:ind w:left="140"/>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134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7.</w:t>
              </w:r>
            </w:hyperlink>
          </w:p>
        </w:tc>
        <w:tc>
          <w:tcPr>
            <w:tcW w:w="9240" w:type="dxa"/>
            <w:vAlign w:val="bottom"/>
            <w:gridSpan w:val="30"/>
          </w:tcPr>
          <w:p>
            <w:pPr>
              <w:ind w:left="140"/>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34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47">
              <w:r>
                <w:rPr>
                  <w:rFonts w:ascii="Arial" w:cs="Arial" w:eastAsia="Arial" w:hAnsi="Arial"/>
                  <w:sz w:val="18"/>
                  <w:szCs w:val="18"/>
                  <w:color w:val="0000EE"/>
                  <w:w w:val="80"/>
                </w:rPr>
                <w:t>Item 7A.</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134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Item 8.</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134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9.</w:t>
              </w:r>
            </w:hyperlink>
          </w:p>
        </w:tc>
        <w:tc>
          <w:tcPr>
            <w:tcW w:w="9240" w:type="dxa"/>
            <w:vAlign w:val="bottom"/>
            <w:gridSpan w:val="30"/>
          </w:tcPr>
          <w:p>
            <w:pPr>
              <w:ind w:left="140"/>
              <w:spacing w:after="0"/>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134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72">
              <w:r>
                <w:rPr>
                  <w:rFonts w:ascii="Arial" w:cs="Arial" w:eastAsia="Arial" w:hAnsi="Arial"/>
                  <w:sz w:val="18"/>
                  <w:szCs w:val="18"/>
                  <w:color w:val="0000EE"/>
                  <w:w w:val="80"/>
                </w:rPr>
                <w:t>Item 9A.</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134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73">
              <w:r>
                <w:rPr>
                  <w:rFonts w:ascii="Arial" w:cs="Arial" w:eastAsia="Arial" w:hAnsi="Arial"/>
                  <w:sz w:val="18"/>
                  <w:szCs w:val="18"/>
                  <w:color w:val="0000EE"/>
                  <w:w w:val="80"/>
                </w:rPr>
                <w:t>Item 9B.</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134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III</w:t>
              </w:r>
            </w:hyperlink>
          </w:p>
        </w:tc>
        <w:tc>
          <w:tcPr>
            <w:tcW w:w="4260" w:type="dxa"/>
            <w:vAlign w:val="bottom"/>
            <w:gridSpan w:val="6"/>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4">
              <w:r>
                <w:rPr>
                  <w:rFonts w:ascii="Arial" w:cs="Arial" w:eastAsia="Arial" w:hAnsi="Arial"/>
                  <w:sz w:val="18"/>
                  <w:szCs w:val="18"/>
                  <w:color w:val="0000EE"/>
                  <w:w w:val="82"/>
                </w:rPr>
                <w:t>Item 10.</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134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4">
              <w:r>
                <w:rPr>
                  <w:rFonts w:ascii="Arial" w:cs="Arial" w:eastAsia="Arial" w:hAnsi="Arial"/>
                  <w:sz w:val="18"/>
                  <w:szCs w:val="18"/>
                  <w:color w:val="0000EE"/>
                  <w:w w:val="82"/>
                </w:rPr>
                <w:t>Item 11.</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134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4">
              <w:r>
                <w:rPr>
                  <w:rFonts w:ascii="Arial" w:cs="Arial" w:eastAsia="Arial" w:hAnsi="Arial"/>
                  <w:sz w:val="18"/>
                  <w:szCs w:val="18"/>
                  <w:color w:val="0000EE"/>
                  <w:w w:val="82"/>
                </w:rPr>
                <w:t>Item 12.</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4">
              <w:r>
                <w:rPr>
                  <w:rFonts w:ascii="Arial" w:cs="Arial" w:eastAsia="Arial" w:hAnsi="Arial"/>
                  <w:sz w:val="18"/>
                  <w:szCs w:val="18"/>
                  <w:color w:val="0000EE"/>
                  <w:w w:val="82"/>
                </w:rPr>
                <w:t>Item 13.</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134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4">
              <w:r>
                <w:rPr>
                  <w:rFonts w:ascii="Arial" w:cs="Arial" w:eastAsia="Arial" w:hAnsi="Arial"/>
                  <w:sz w:val="18"/>
                  <w:szCs w:val="18"/>
                  <w:color w:val="0000EE"/>
                  <w:w w:val="82"/>
                </w:rPr>
                <w:t>Item 14.</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134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3"/>
          </w:tcPr>
          <w:p>
            <w:pPr>
              <w:jc w:val="center"/>
              <w:ind w:right="4280"/>
              <w:spacing w:after="0"/>
              <w:rPr>
                <w:rFonts w:ascii="Arial" w:cs="Arial" w:eastAsia="Arial" w:hAnsi="Arial"/>
                <w:sz w:val="18"/>
                <w:szCs w:val="18"/>
                <w:b w:val="1"/>
                <w:bCs w:val="1"/>
                <w:color w:val="0000EE"/>
                <w:w w:val="98"/>
              </w:rPr>
            </w:pPr>
            <w:hyperlink w:anchor="page75">
              <w:r>
                <w:rPr>
                  <w:rFonts w:ascii="Arial" w:cs="Arial" w:eastAsia="Arial" w:hAnsi="Arial"/>
                  <w:sz w:val="18"/>
                  <w:szCs w:val="18"/>
                  <w:b w:val="1"/>
                  <w:bCs w:val="1"/>
                  <w:color w:val="0000EE"/>
                  <w:w w:val="98"/>
                </w:rPr>
                <w:t>PART IV</w:t>
              </w:r>
            </w:hyperlink>
          </w:p>
        </w:tc>
        <w:tc>
          <w:tcPr>
            <w:tcW w:w="11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5">
              <w:r>
                <w:rPr>
                  <w:rFonts w:ascii="Arial" w:cs="Arial" w:eastAsia="Arial" w:hAnsi="Arial"/>
                  <w:sz w:val="18"/>
                  <w:szCs w:val="18"/>
                  <w:color w:val="0000EE"/>
                  <w:w w:val="82"/>
                </w:rPr>
                <w:t>Item 15.</w:t>
              </w:r>
            </w:hyperlink>
          </w:p>
        </w:tc>
        <w:tc>
          <w:tcPr>
            <w:tcW w:w="200" w:type="dxa"/>
            <w:vAlign w:val="bottom"/>
          </w:tcPr>
          <w:p>
            <w:pPr>
              <w:spacing w:after="0"/>
              <w:rPr>
                <w:sz w:val="21"/>
                <w:szCs w:val="21"/>
                <w:color w:val="auto"/>
              </w:rPr>
            </w:pPr>
          </w:p>
        </w:tc>
        <w:tc>
          <w:tcPr>
            <w:tcW w:w="4260" w:type="dxa"/>
            <w:vAlign w:val="bottom"/>
            <w:gridSpan w:val="17"/>
          </w:tcPr>
          <w:p>
            <w:pPr>
              <w:ind w:left="140"/>
              <w:spacing w:after="0"/>
              <w:rPr>
                <w:rFonts w:ascii="Arial" w:cs="Arial" w:eastAsia="Arial" w:hAnsi="Arial"/>
                <w:sz w:val="18"/>
                <w:szCs w:val="18"/>
                <w:color w:val="0000EE"/>
              </w:rPr>
            </w:pPr>
            <w:hyperlink w:anchor="page75">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21"/>
                <w:szCs w:val="21"/>
                <w:color w:val="auto"/>
              </w:rPr>
            </w:pPr>
          </w:p>
        </w:tc>
        <w:tc>
          <w:tcPr>
            <w:tcW w:w="4280" w:type="dxa"/>
            <w:vAlign w:val="bottom"/>
            <w:gridSpan w:val="7"/>
          </w:tcPr>
          <w:p>
            <w:pPr>
              <w:spacing w:after="0"/>
              <w:rPr>
                <w:sz w:val="21"/>
                <w:szCs w:val="21"/>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940" w:type="dxa"/>
            <w:vAlign w:val="bottom"/>
            <w:gridSpan w:val="1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7">
              <w:r>
                <w:rPr>
                  <w:rFonts w:ascii="Arial" w:cs="Arial" w:eastAsia="Arial" w:hAnsi="Arial"/>
                  <w:sz w:val="18"/>
                  <w:szCs w:val="18"/>
                  <w:color w:val="0000EE"/>
                  <w:w w:val="82"/>
                </w:rPr>
                <w:t>Item 16.</w:t>
              </w:r>
            </w:hyperlink>
          </w:p>
        </w:tc>
        <w:tc>
          <w:tcPr>
            <w:tcW w:w="200" w:type="dxa"/>
            <w:vAlign w:val="bottom"/>
          </w:tcPr>
          <w:p>
            <w:pPr>
              <w:spacing w:after="0"/>
              <w:rPr>
                <w:sz w:val="21"/>
                <w:szCs w:val="21"/>
                <w:color w:val="auto"/>
              </w:rPr>
            </w:pPr>
          </w:p>
        </w:tc>
        <w:tc>
          <w:tcPr>
            <w:tcW w:w="9240" w:type="dxa"/>
            <w:vAlign w:val="bottom"/>
            <w:gridSpan w:val="30"/>
          </w:tcPr>
          <w:p>
            <w:pPr>
              <w:ind w:left="140"/>
              <w:spacing w:after="0"/>
              <w:rPr>
                <w:rFonts w:ascii="Arial" w:cs="Arial" w:eastAsia="Arial" w:hAnsi="Arial"/>
                <w:sz w:val="18"/>
                <w:szCs w:val="18"/>
                <w:color w:val="0000EE"/>
              </w:rPr>
            </w:pPr>
            <w:hyperlink w:anchor="page77">
              <w:r>
                <w:rPr>
                  <w:rFonts w:ascii="Arial" w:cs="Arial" w:eastAsia="Arial" w:hAnsi="Arial"/>
                  <w:sz w:val="18"/>
                  <w:szCs w:val="18"/>
                  <w:color w:val="0000EE"/>
                </w:rPr>
                <w:t>Form 10-K Summary</w:t>
              </w:r>
            </w:hyperlink>
          </w:p>
        </w:tc>
        <w:tc>
          <w:tcPr>
            <w:tcW w:w="134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7560" w:type="dxa"/>
            <w:vAlign w:val="bottom"/>
            <w:gridSpan w:val="2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100" w:type="dxa"/>
            <w:vAlign w:val="bottom"/>
            <w:gridSpan w:val="5"/>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SIGNATURES</w:t>
              </w:r>
            </w:hyperlink>
          </w:p>
        </w:tc>
        <w:tc>
          <w:tcPr>
            <w:tcW w:w="8920" w:type="dxa"/>
            <w:vAlign w:val="bottom"/>
            <w:gridSpan w:val="28"/>
          </w:tcPr>
          <w:p>
            <w:pPr>
              <w:spacing w:after="0"/>
              <w:rPr>
                <w:sz w:val="24"/>
                <w:szCs w:val="24"/>
                <w:color w:val="auto"/>
              </w:rPr>
            </w:pPr>
          </w:p>
        </w:tc>
        <w:tc>
          <w:tcPr>
            <w:tcW w:w="1340" w:type="dxa"/>
            <w:vAlign w:val="bottom"/>
            <w:gridSpan w:val="3"/>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engaged in the design, construction, and sale of new homes in markets in Texas, Arizona, Florida, Georgia, New Mexico, Colorado, North Carolina, South Carolina, Washington, Tennessee, Minnesota, Oklahoma, Alabama, California, Oregon, Nevada, West Virginia and Virginia. Our management team has been in the residential land development business since the mid-1990s. Since commencing home building operations in 2003, we have constructed and closed over 35,000 homes. During the year ended December 31, 2019, we had 7,690 home closings, compared to 6,512 home closings in 2018.</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LGI Homes, Inc. is a Delaware corporation incorporated on July 9, 2013. Our principal executive offices are located at 1450 Lake Robbins Drive, Suite 430, The Woodlands, Texas 77380, and our telephone number is (281) 362-8998. Information on or linked to our website is not incorporated by reference into this Annual Report on Form 10-K unless expressly noted.</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Unless otherwise indicated or the context requires, “LGI,” the “Company,” “we,” “our” and “us” refer collectively to LGI Homes, Inc.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Opportunities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Since our initial public offering in November 2013, we have grown substantially by expanding our operations from nine markets in four states to 31 markets in 18 states. We believe there is an opportunity to continue to grow in our existing markets. Given our knowledge of and proven success in these markets, as well as the favorable demographic and economic trends forecasted for these markets, we expect to continue to grow in our current markets.</w:t>
      </w:r>
    </w:p>
    <w:p>
      <w:pPr>
        <w:spacing w:after="0" w:line="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intend to continue to expand into new markets where we identify opportunities to build homes and develop communities that meet our profit and return objectives. One of the keys to our successful geographic expansion is our operating model which enables us to enter new markets efficiently and effectively. During 2020, we expect to open new communities and have homes for sale in additional markets, including Columbia, South Carolina, Richmond, Virginia, Riverside, California, and Sarasota, Florida. We also expect to enter the Salt Lake City, Utah market, with home construction and sales expected to begin in 2021.</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see opportunities to develop properties with multiple product lines and within the same communities which we believe will enable us to grow our business by increasing the number of price points in some of our existing markets. Our current product offerings include entry-level homes, including both detached and attached homes, and move-up homes, which are sold under our LGI Homes brand, and our luxury series homes, which are sold under our Terrata Homes brand. At December 31, 2019, we had 103 active communities with our LGI Homes brand and three with our Terrata Homes brand.</w:t>
      </w:r>
    </w:p>
    <w:p>
      <w:pPr>
        <w:spacing w:after="0" w:line="4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Our Terrata Homes brand allows us to leverage our systems and process approach, including our customer centric sales system, to deliver move-in ready homes with standardized features. During 2019, we closed 134 Terrata Homes, which had an average sales price of $418,000, compared to 118 Terrata Homes, which had an average sales price of $395,000, in 2018.</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attached product in certain markets enables us to keep our entry-level price point within reach of more new homebuyers. We believe that our attached product helps to counter rising land and home costs, and support our expansion into densely populated markets.</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Similarly, we believe our wholesale home closings provide opportunities for us to leverage our systems and processes to meet the needs of companies looking to acquire multiple homes for rental purposes, primarily through bulk sales agreements. During 2019 and 2018, we had 583 and 466 wholesale home closings, respectively, which represented 7.6% and 7.2% of our total home closings in 2019 and 2018, respectively.</w:t>
      </w:r>
    </w:p>
    <w:p>
      <w:pPr>
        <w:spacing w:after="0" w:line="5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expect to continue to pursue a flexible land acquisition strategy of purchasing or optioning finished lots, if they can be acquired at attractive prices, or purchasing raw land for residential development. We generally target land acquisitions that are further away from urban centers than many other suburban communities but have access to major thoroughfares, retail districts and centers of business. These target areas that are further away from urban centers generally result in a better value for the homeowner through either lower price points or larger lot sizes. We consider development opportunities that meet our profit and return objectives, including opportunities which may involve the sale of home sites as a part of the product mix. We will continue to focus primarily on entry-level home buyers. We expect our wholesale home closings will range between 5% to 10% of our annual home closings during 2020 and our home closings in communities with our luxury series will be less than 3% of our annual home closings during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utilize a well-defined sales and marketing approach to identify leads for our communities and to educate potential buyers on the process and benefits of homeownership. For many of our communities, our marketing efforts are focused on converting renters of apartments and single-family homes into homeowners.</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use extensive print and digital advertising to attract potential homebuyers. We employ various marketing methods such as direct mail, social media and interactive online media as well as directional signage and billboards to attract and drive potential homebuyers to our information centers.</w:t>
      </w:r>
    </w:p>
    <w:p>
      <w:pPr>
        <w:spacing w:after="0" w:line="3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advertising methods are extensive and have proven to be effective in placing potential homebuyers in front of our trained sales professionals. These methods have proven to be effective in reaching our target market and communicating our core message of value and dream fulfillment.</w:t>
      </w:r>
    </w:p>
    <w:p>
      <w:pPr>
        <w:spacing w:after="0" w:line="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With respect to our communities with higher price points or that include the sale of home sites, our sales and marketing approaches are tailored to the potential purchasers of such homes and home sites and include more involvement by real estate agents and brokers.</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Across all price points, our marketing strategy calls for a balanced approach of corporate support and local expertise to attract potential homebuyers in a focused, efficient and cost-effective manner. Our proprietary customer relationship management system provides our management team with tools to continually monitor and measure the performance level of every sales professional through each phase of the sales process. Utilization of these tools allows us to assess the cost effectiveness of a particular advertising campaign and marketing medium as well as the strengths and weaknesses of every member of our sales team.</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marketing efforts are generally designed to encourage the prospective homebuyer to call our information centers to schedule an appointment and our primary objective is to establish direct communication between the prospective homebuyer and the salesperson. Our professional salespeople are well-trained to determine specific needs and wants of the potential homebuyer and to provide the potential homebuyer with all information required to make a buying decision.</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information centers are open approximately 12 hours per day, 359 days per year, and generally staffed by two to five sales professionals and supported by an independent on-site loan officer. Our commission-based sales professionals provide potential homebuyers with a comprehensive and thorough understanding of the steps required to achieve homeownership. Throughout the sales process, our sales professionals learn about the current housing situation of the potential homebuyers and seek to understand their individual needs while also educating them on the value we provide through superior quality and affordable prices.</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provide information regarding floor plans and pricing, credit and income qualifications and conduct tours of our homes based on the potential homebuyer’s budget. In addition, we provide each potential homebuyer with a comprehensive introduction to the community and the surrounding area, providing them with detailed information regarding utilities, schools, homeowners association dues and restrictions, local entertainment and nearby dining and shopping options. We provide our potential homebuyers with a clear understanding of who we are by sharing our history, vision and values. As a result of our transparent approach, potential homebuyers receive all this information before making a buying decision, which we believe eliminates confusion during the home buying process and sets clear expectations. In addition, the potential home buyers benefit from the availability of move-in ready homes by seeing the completed or near-completed home that they will own.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Recruitment, Training and Development</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focus on identifying and attracting the best talent and providing them with world-class training and continuous development. We directly invest in our sales professionals by conducting an intensive 100-day introductory training program consisting of 30 days of initial in-depth, in-house education about our time-proven selling strategies, which includes a two-week training program at our headquarters, and an additional 85 days of secondary training at the local division. Our continued commitment to our sales personnel is reflected in the ongoing weekly training sessions held in each of our information centers coupled with quarterly regional training events. All construction managers, purchasing managers and vice presidents come to our corporate headquarters for a week of training in their first 100 days. We also work closely with our subcontractors, training them using a comprehensive construction manual that outlines the most efficient way to build an LGI home. Many of our subcontractors have worked on our homes since we commenced homebuilding operations in 2003, and therefore, are familiar with our business model.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Homebuilding Operations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homebuilding operations are organized and managed by seven divisions: West, Northwest, Central, Midwest, Florida, Southeast and Mid-Atlantic.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Midwest division is included in our Central reportable segment and the Mid-Atlantic division is included in our Southeast reportable segment.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West</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Northwest</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Central</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Midwest</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Florida</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Southeast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Mid-Atlantic</w:t>
            </w: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Phoenix, AZ</w:t>
            </w:r>
          </w:p>
        </w:tc>
        <w:tc>
          <w:tcPr>
            <w:tcW w:w="1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Seattle, WA</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Houston, TX</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Minneapolis, MN</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Tampa, FL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Atlanta, GA</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Washington, DC</w:t>
            </w:r>
          </w:p>
        </w:tc>
        <w:tc>
          <w:tcPr>
            <w:tcW w:w="0" w:type="dxa"/>
            <w:vAlign w:val="bottom"/>
          </w:tcPr>
          <w:p>
            <w:pPr>
              <w:spacing w:after="0"/>
              <w:rPr>
                <w:sz w:val="1"/>
                <w:szCs w:val="1"/>
                <w:color w:val="auto"/>
              </w:rPr>
            </w:pP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2"/>
              </w:rPr>
              <w:t>Tucson, AZ</w:t>
            </w:r>
          </w:p>
        </w:tc>
        <w:tc>
          <w:tcPr>
            <w:tcW w:w="176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Portland, OR</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Dallas Ft. Worth, TX</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Orlando, FL</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Charlotte, NC</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Richmond, VA</w:t>
            </w: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Albuquerque,</w:t>
            </w:r>
          </w:p>
        </w:tc>
        <w:tc>
          <w:tcPr>
            <w:tcW w:w="17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89"/>
              </w:rPr>
              <w:t>Denver, CO</w:t>
            </w:r>
          </w:p>
        </w:tc>
        <w:tc>
          <w:tcPr>
            <w:tcW w:w="17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4"/>
              </w:rPr>
              <w:t>San Antonio, TX</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6"/>
              </w:rPr>
              <w:t>Fort Myers, FL</w:t>
            </w:r>
          </w:p>
        </w:tc>
        <w:tc>
          <w:tcPr>
            <w:tcW w:w="1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3"/>
              </w:rPr>
              <w:t>Columbia, SC</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760" w:type="dxa"/>
            <w:vAlign w:val="bottom"/>
            <w:gridSpan w:val="2"/>
            <w:vMerge w:val="continue"/>
            <w:shd w:val="clear" w:color="auto" w:fill="CCEEFF"/>
          </w:tcPr>
          <w:p>
            <w:pPr>
              <w:spacing w:after="0"/>
              <w:rPr>
                <w:sz w:val="8"/>
                <w:szCs w:val="8"/>
                <w:color w:val="auto"/>
              </w:rPr>
            </w:pPr>
          </w:p>
        </w:tc>
        <w:tc>
          <w:tcPr>
            <w:tcW w:w="1720" w:type="dxa"/>
            <w:vAlign w:val="bottom"/>
            <w:gridSpan w:val="2"/>
            <w:vMerge w:val="continue"/>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00" w:type="dxa"/>
            <w:vAlign w:val="bottom"/>
            <w:gridSpan w:val="2"/>
            <w:vMerge w:val="continue"/>
            <w:shd w:val="clear" w:color="auto" w:fill="CCEEFF"/>
          </w:tcPr>
          <w:p>
            <w:pPr>
              <w:spacing w:after="0"/>
              <w:rPr>
                <w:sz w:val="8"/>
                <w:szCs w:val="8"/>
                <w:color w:val="auto"/>
              </w:rPr>
            </w:pPr>
          </w:p>
        </w:tc>
        <w:tc>
          <w:tcPr>
            <w:tcW w:w="1700" w:type="dxa"/>
            <w:vAlign w:val="bottom"/>
            <w:gridSpan w:val="2"/>
            <w:vMerge w:val="continue"/>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40" w:type="dxa"/>
            <w:vAlign w:val="bottom"/>
            <w:tcBorders>
              <w:bottom w:val="single" w:sz="8" w:color="CCEEFF"/>
            </w:tcBorders>
            <w:vMerge w:val="continue"/>
            <w:shd w:val="clear" w:color="auto" w:fill="CCEEFF"/>
          </w:tcPr>
          <w:p>
            <w:pPr>
              <w:spacing w:after="0"/>
              <w:rPr>
                <w:sz w:val="10"/>
                <w:szCs w:val="10"/>
                <w:color w:val="auto"/>
              </w:rPr>
            </w:pPr>
          </w:p>
        </w:tc>
        <w:tc>
          <w:tcPr>
            <w:tcW w:w="1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1"/>
              </w:rPr>
              <w:t>Las Vegas, NV</w:t>
            </w:r>
          </w:p>
        </w:tc>
        <w:tc>
          <w:tcPr>
            <w:tcW w:w="176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Colorado Springs, CO</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rPr>
              <w:t>Austin, TX</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Jacksonville, FL</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Raleigh, NC</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Sacramento, CA</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Oklahoma City, OK</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Fort Pierce, FL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Wilmington, NC</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4"/>
              </w:rPr>
              <w:t>Riverside, CA</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Winston-Salem, NC</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Birmingham, AL</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Nashville, TN</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05"/>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During 2019, we expanded our geographic presence in the West, Florida and Southeast with the addition of the Riverside, California, Fort Pierce, Florida and Columbia, South Carolina markets. These operating segments reflect the way the Company evaluates its business performance and manages its operations. Additional information on our operating segments and product information is contained in </w:t>
      </w:r>
      <w:hyperlink w:anchor="page70">
        <w:r>
          <w:rPr>
            <w:rFonts w:ascii="Arial" w:cs="Arial" w:eastAsia="Arial" w:hAnsi="Arial"/>
            <w:sz w:val="18"/>
            <w:szCs w:val="18"/>
            <w:u w:val="single" w:color="auto"/>
            <w:color w:val="0000EE"/>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t>
      </w:r>
      <w:hyperlink w:anchor="page70">
        <w:r>
          <w:rPr>
            <w:rFonts w:ascii="Arial" w:cs="Arial" w:eastAsia="Arial" w:hAnsi="Arial"/>
            <w:sz w:val="18"/>
            <w:szCs w:val="18"/>
            <w:u w:val="single" w:color="auto"/>
            <w:color w:val="0000EE"/>
          </w:rPr>
          <w:t>Segment Information</w:t>
        </w:r>
      </w:hyperlink>
      <w:r>
        <w:rPr>
          <w:rFonts w:ascii="Arial" w:cs="Arial" w:eastAsia="Arial" w:hAnsi="Arial"/>
          <w:sz w:val="18"/>
          <w:szCs w:val="18"/>
          <w:color w:val="auto"/>
        </w:rPr>
        <w:t xml:space="preserve">” to our consolidated financial statements included in </w:t>
      </w:r>
      <w:hyperlink w:anchor="page48">
        <w:r>
          <w:rPr>
            <w:rFonts w:ascii="Arial" w:cs="Arial" w:eastAsia="Arial" w:hAnsi="Arial"/>
            <w:sz w:val="18"/>
            <w:szCs w:val="18"/>
            <w:u w:val="single" w:color="auto"/>
            <w:color w:val="0000EE"/>
          </w:rPr>
          <w:t>Part II, 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79" w:lineRule="exact"/>
        <w:rPr>
          <w:rFonts w:ascii="Arial" w:cs="Arial" w:eastAsia="Arial" w:hAnsi="Arial"/>
          <w:sz w:val="18"/>
          <w:szCs w:val="18"/>
          <w:color w:val="auto"/>
        </w:rPr>
      </w:pPr>
    </w:p>
    <w:p>
      <w:pPr>
        <w:jc w:val="both"/>
        <w:ind w:firstLine="405"/>
        <w:spacing w:after="0" w:line="246" w:lineRule="auto"/>
        <w:rPr>
          <w:sz w:val="20"/>
          <w:szCs w:val="20"/>
          <w:color w:val="auto"/>
        </w:rPr>
      </w:pPr>
      <w:r>
        <w:rPr>
          <w:rFonts w:ascii="Arial" w:cs="Arial" w:eastAsia="Arial" w:hAnsi="Arial"/>
          <w:sz w:val="17"/>
          <w:szCs w:val="17"/>
          <w:color w:val="auto"/>
        </w:rPr>
        <w:t>Our even-flow, continuous construction methodology enables us to build and maintain an inventory of move-in ready homes that are available for immediate sale. Driven by commitment to our customers and the desire to make dreams of homeownership come true, we offer a set number of floor plans in each community with standardized finishes. In 2019, we introduced the CompleteHome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package to continue our legacy of offering buyers beautiful move-in ready homes, a streamlined buying experience, and superior quality with even more standard features than offered before.</w:t>
      </w:r>
    </w:p>
    <w:p>
      <w:pPr>
        <w:spacing w:after="0" w:line="88" w:lineRule="exact"/>
        <w:rPr>
          <w:rFonts w:ascii="Arial" w:cs="Arial" w:eastAsia="Arial" w:hAnsi="Arial"/>
          <w:sz w:val="18"/>
          <w:szCs w:val="18"/>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CompleteHome package includes kitchen appliances by Whirlpool®, 36” upper cabinets with crown molding, granite or quartz countertops, undermount sinks, Moen® faucets and Kwikset® door hardware, as well as convenient outlets with USB charging capability and a Wi-Fi-enabled garage door opener. Additionally, our CompleteHome inventory includes programmable thermostats, double-pane Low-E vinyl windows, LED flush mount ENERGY STAR lights and a variety of other energy-saving features.</w:t>
      </w:r>
    </w:p>
    <w:p>
      <w:pPr>
        <w:spacing w:after="0" w:line="79" w:lineRule="exact"/>
        <w:rPr>
          <w:rFonts w:ascii="Arial" w:cs="Arial" w:eastAsia="Arial" w:hAnsi="Arial"/>
          <w:sz w:val="18"/>
          <w:szCs w:val="18"/>
          <w:color w:val="auto"/>
        </w:rPr>
      </w:pPr>
    </w:p>
    <w:p>
      <w:pPr>
        <w:jc w:val="both"/>
        <w:ind w:firstLine="405"/>
        <w:spacing w:after="0" w:line="253" w:lineRule="auto"/>
        <w:rPr>
          <w:sz w:val="20"/>
          <w:szCs w:val="20"/>
          <w:color w:val="auto"/>
        </w:rPr>
      </w:pPr>
      <w:r>
        <w:rPr>
          <w:rFonts w:ascii="Arial" w:cs="Arial" w:eastAsia="Arial" w:hAnsi="Arial"/>
          <w:sz w:val="17"/>
          <w:szCs w:val="17"/>
          <w:color w:val="auto"/>
        </w:rPr>
        <w:t>In addition, select communities in 2019 began offering our CompleteHome Plus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package, which includes everything in the CompleteHome package plus stainless steel Whirlpool® appliances, 42” upper cabinets, blinds throughout and much more. CompleteHome or CompleteHome Plus inventory is now available at all LGI communities and became standard with all new construction starts beginning in the second quarter of 2019. Our homes are designed to meet the preferences of our target market of potential homebuyers and enable cost efficient and effective construction processes. We maintained an average home completion time of approximately 78 to 100 days during 2019; with homes closed during 2019 ranging between 1,000 to 5,000 square feet and overall sales prices ranging between the $140,000’s to the $700,000’s.</w:t>
      </w:r>
    </w:p>
    <w:p>
      <w:pPr>
        <w:spacing w:after="0" w:line="83" w:lineRule="exact"/>
        <w:rPr>
          <w:rFonts w:ascii="Arial" w:cs="Arial" w:eastAsia="Arial" w:hAnsi="Arial"/>
          <w:sz w:val="18"/>
          <w:szCs w:val="18"/>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expect to continue to utilize our even flow construction methodology in communities with homes at all of our price points and will maintain our focus on marketing complete or move-in ready homes with standardized features.</w:t>
      </w:r>
    </w:p>
    <w:p>
      <w:pPr>
        <w:spacing w:after="0" w:line="62" w:lineRule="exact"/>
        <w:rPr>
          <w:rFonts w:ascii="Arial" w:cs="Arial" w:eastAsia="Arial" w:hAnsi="Arial"/>
          <w:sz w:val="18"/>
          <w:szCs w:val="18"/>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employ experienced construction management professionals to perform the tasks of general contractors for home construction in each of our communities. Our employees provide the purchasing, construction management and quality assurance for the homes we build, while third-party subcontractors provide the material and labor components of our homes. In each of our markets, we employ construction managers with local market knowledge and expertise. Additionally, our construction managers monitor our compliance with zoning and other regulations, production schedules, and quality standards for our projects.</w:t>
      </w:r>
    </w:p>
    <w:p>
      <w:pPr>
        <w:spacing w:after="0" w:line="80" w:lineRule="exact"/>
        <w:rPr>
          <w:rFonts w:ascii="Arial" w:cs="Arial" w:eastAsia="Arial" w:hAnsi="Arial"/>
          <w:sz w:val="18"/>
          <w:szCs w:val="18"/>
          <w:color w:val="auto"/>
        </w:rPr>
      </w:pPr>
    </w:p>
    <w:p>
      <w:pPr>
        <w:jc w:val="both"/>
        <w:ind w:firstLine="405"/>
        <w:spacing w:after="0" w:line="297" w:lineRule="auto"/>
        <w:rPr>
          <w:sz w:val="20"/>
          <w:szCs w:val="20"/>
          <w:color w:val="auto"/>
        </w:rPr>
      </w:pPr>
      <w:r>
        <w:rPr>
          <w:rFonts w:ascii="Arial" w:cs="Arial" w:eastAsia="Arial" w:hAnsi="Arial"/>
          <w:sz w:val="16"/>
          <w:szCs w:val="16"/>
          <w:color w:val="auto"/>
        </w:rPr>
        <w:t>We endeavor to obtain favorable pricing from subcontractors through long-term relationships and consistent workflow. As we have expanded into new markets outside of Texas, the employees that we have hired in those markets have brought long-term relationships with several subcontracting firms. We have expanded upon existing relationships with subcontracting firms also located in Texas. A number of our trade partners have subcontracted on our projects since we commenced homebuilding operations in 2003. We purchase some components and materials centrally to leverage our purchasing power to achieve volume discounts, a practice that often reduces costs and ensures timely deliveries. We typically do not store significant inventories of construction</w:t>
      </w:r>
    </w:p>
    <w:p>
      <w:pPr>
        <w:spacing w:after="0" w:line="15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materials, except for work in progress materials for homes under construction. Consistency of our trade partners is an integral part of our homebuilding operations that also leads us to reduced warranty costs. We believe in building long lasting relationships with our trade partners in order to provide consistent, quality and timely deliveries across our markets. We also work closely with our construction managers and subcontractors and train them using a comprehensive construction manual that outlines the most efficient way to build an LGI home.</w:t>
      </w:r>
    </w:p>
    <w:p>
      <w:pPr>
        <w:spacing w:after="0" w:line="7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Throughout our homebuilding operations, we utilize a paperless purchase order system to conduct business with our subcontractors and suppliers. Our master build schedule allows our trade partners to receive their specific tasks from our electronic system and plan several weeks in advance before starting their work. This means of communication allows our subcontractors to schedule their crews efficiently, thereby allowing for better pricing and better quality of work. Typically, our contractors are paid every week, which contributes to the strength of our business relationships with them.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Acquisition Policies and Development</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continue to be an active and opportunistic acquirer of land for residential development in our markets. We source land from a wide range of landowners, brokers, lenders, builders and other land development companies. We generally acquire finished lots and raw land in affordable locations that are further away from urban centers than many other suburban communities but have access to major thoroughfares, retail districts and centers of business. We conduct thorough due diligence on each of our potential land acquisitions, and we look at numerous opportunities before finding one that meets our requirements. We also maintain a pipeline of desirable land positions for replacement communities and new communities. We increased our active communities to 106 as of December 31, 2019 from 88 as of December 31, 2018. Our lot inventory decreased to 48,062 owned or controlled lots as of December 31, 2019 from 51,442 owned or controlled lots as of December 31, 2018. This decrease is primarily related to controlled lots that were purchased or terminated during the acquisition process within our Southeast and West reportable segments.</w:t>
      </w:r>
    </w:p>
    <w:p>
      <w:pPr>
        <w:spacing w:after="0" w:line="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allocation of capital for land investment is performed at the corporate level with a disciplined approach to portfolio management. Our Acquisitions Committee meets periodically and consists of our Chief Executive Officer, Chief Financial Officer, and Executive Vice President of Acquisitions. Annually, our divisions prepare a strategic plan for their respective geographic areas. Supply and demand are analyzed to ensure land investment is targeted appropriately. The long-term plan is compared on an ongoing basis to our experience in the marketplace and is then adjusted to the extent necessary.</w:t>
      </w:r>
    </w:p>
    <w:p>
      <w:pPr>
        <w:spacing w:after="0" w:line="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have also purchased larger tracts of land across our markets which will provide us with more opportunities to build homes with multiple price points in our communities. We believe that our land development expertise will allow us to meet our growth and profit objectives with respect to opportunities in which we are the developer. Similar to our home building operations, our personnel oversee the contractors who perform the development work. Our land development projects may include the sale of home sites or commercial property as a part of the project.</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strong relationships with the land brokerage community in many of our markets. We believe that in the brokerage community, we have a reputation for knowing our business, having the capital to close deals, and making accurate and timely decisions that benefit both the buyer and seller. For these reasons, we believe that brokers routinely notify us when desirable tracts of land are available for purchase.</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our land acquisition process, projects of interest are evaluated at the division level using an extensive due diligence checklist which includes assessing the permitting and regulatory requirements, environmental considerations, local market conditions, and anticipated floor plans, pricing, and financial returns. We also acquire and develop land for use in our wholesale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shows (i) home closings by reportable segment for the year ended December 31, 2019 and (ii) our owned or controlled lots by reportable segment as of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2019</w:t>
            </w:r>
          </w:p>
        </w:tc>
        <w:tc>
          <w:tcPr>
            <w:tcW w:w="1700" w:type="dxa"/>
            <w:vAlign w:val="bottom"/>
          </w:tcPr>
          <w:p>
            <w:pPr>
              <w:spacing w:after="0"/>
              <w:rPr>
                <w:sz w:val="20"/>
                <w:szCs w:val="20"/>
                <w:color w:val="auto"/>
              </w:rPr>
            </w:pPr>
          </w:p>
        </w:tc>
        <w:tc>
          <w:tcPr>
            <w:tcW w:w="2240" w:type="dxa"/>
            <w:vAlign w:val="bottom"/>
            <w:gridSpan w:val="4"/>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380" w:type="dxa"/>
            <w:vAlign w:val="bottom"/>
          </w:tcPr>
          <w:p>
            <w:pPr>
              <w:spacing w:after="0"/>
              <w:rPr>
                <w:sz w:val="20"/>
                <w:szCs w:val="20"/>
                <w:color w:val="auto"/>
              </w:rPr>
            </w:pPr>
          </w:p>
        </w:tc>
      </w:tr>
      <w:tr>
        <w:trPr>
          <w:trHeight w:val="27"/>
        </w:trPr>
        <w:tc>
          <w:tcPr>
            <w:tcW w:w="4240" w:type="dxa"/>
            <w:vAlign w:val="bottom"/>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Reportable Segment</w:t>
            </w:r>
          </w:p>
        </w:tc>
        <w:tc>
          <w:tcPr>
            <w:tcW w:w="1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Home Closings</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xml:space="preserve">Owned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Controlled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15,152</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21,916</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9,810</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15,704</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2,743</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4,779</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48,062</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20"/>
        <w:spacing w:after="0"/>
        <w:tabs>
          <w:tab w:leader="none" w:pos="5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Of the 31,857 owned lots as of December 31, 2019, 20,561 were raw/under development lots and 11,296 were finished lots.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Homes in Inventory</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When entering a new community, we build a sufficient number of move-in ready homes to meet our budgets. We base future home starts on closings. As homes are closed, we start more homes to maintain our inventory. As of December 31, 2019, we had a total of 1,947 completed homes, including information centers, and 1,768 homes in progress.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our homes in inventory by reportable segment as of December 31, 2019 (dollar values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Reportable Segment</w:t>
            </w:r>
          </w:p>
        </w:tc>
        <w:tc>
          <w:tcPr>
            <w:tcW w:w="12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 xml:space="preserve">Homes in Inventory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xml:space="preserve">Inventory Value </w:t>
            </w:r>
            <w:r>
              <w:rPr>
                <w:rFonts w:ascii="Arial" w:cs="Arial" w:eastAsia="Arial" w:hAnsi="Arial"/>
                <w:sz w:val="21"/>
                <w:szCs w:val="21"/>
                <w:b w:val="1"/>
                <w:bCs w:val="1"/>
                <w:color w:val="auto"/>
                <w:w w:val="96"/>
                <w:vertAlign w:val="superscript"/>
              </w:rPr>
              <w:t>(1)</w:t>
            </w: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175,777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136,086</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96,296</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83,078</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68,777</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560,014</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20"/>
        <w:spacing w:after="0"/>
        <w:tabs>
          <w:tab w:leader="none" w:pos="5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homes in progress and completed homes; excludes information centers.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See discussion included in “</w:t>
      </w:r>
      <w:hyperlink w:anchor="page40">
        <w:r>
          <w:rPr>
            <w:rFonts w:ascii="Arial" w:cs="Arial" w:eastAsia="Arial" w:hAnsi="Arial"/>
            <w:sz w:val="18"/>
            <w:szCs w:val="18"/>
            <w:u w:val="single" w:color="auto"/>
            <w:color w:val="0000EE"/>
          </w:rPr>
          <w:t>Management’s Discussion and Analysis of Financial Condition and Results of Operations—Backlog</w:t>
        </w:r>
      </w:hyperlink>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Labor</w:t>
      </w:r>
    </w:p>
    <w:p>
      <w:pPr>
        <w:spacing w:after="0" w:line="12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When constructing homes, we use various materials and components. We generally contract for our materials and labor at a fixed price for the anticipated construction period of our homes. This allows us to mitigate the risks associated with increases in building materials and labor costs between the time construction begins on a home and the time it is closed. Typically, the raw materials and most of the components used in our business are readily available in the United States. In addition, the majority of our raw materials is supplied to us by our subcontractors, and is included in the price of our contract with such contractors. Most of the raw materials necessary for our subcontractors are standard items carried by major suppliers. Substantially all of our construction work is done by third-party subcontractors, most of whom are non-unionized. We continue to monitor the supply markets to achieve the best prices available. Typically, the price changes that most significantly influence our operations are price increases in labor, commodities, and lumber.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32"/>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The homebuilding industry generally exhibits seasonality. We have historically experienced, and in the future expect to continue to experience, </w:t>
      </w:r>
      <w:hyperlink w:anchor="page40">
        <w:r>
          <w:rPr>
            <w:rFonts w:ascii="Arial" w:cs="Arial" w:eastAsia="Arial" w:hAnsi="Arial"/>
            <w:sz w:val="18"/>
            <w:szCs w:val="18"/>
            <w:color w:val="auto"/>
          </w:rPr>
          <w:t>variability in our results on a monthly and quarterly basis. See discussion included in “</w:t>
        </w:r>
        <w:r>
          <w:rPr>
            <w:rFonts w:ascii="Arial" w:cs="Arial" w:eastAsia="Arial" w:hAnsi="Arial"/>
            <w:sz w:val="18"/>
            <w:szCs w:val="18"/>
            <w:u w:val="single" w:color="auto"/>
            <w:color w:val="0000EE"/>
          </w:rPr>
          <w:t>Management’s Discussion and Analysis of Financial Condition and</w:t>
        </w:r>
      </w:hyperlink>
      <w:r>
        <w:rPr>
          <w:rFonts w:ascii="Arial" w:cs="Arial" w:eastAsia="Arial" w:hAnsi="Arial"/>
          <w:sz w:val="18"/>
          <w:szCs w:val="18"/>
          <w:color w:val="auto"/>
        </w:rPr>
        <w:t xml:space="preserve"> </w:t>
      </w:r>
      <w:hyperlink w:anchor="page40">
        <w:r>
          <w:rPr>
            <w:rFonts w:ascii="Arial" w:cs="Arial" w:eastAsia="Arial" w:hAnsi="Arial"/>
            <w:sz w:val="18"/>
            <w:szCs w:val="18"/>
            <w:u w:val="single" w:color="auto"/>
            <w:color w:val="0000EE"/>
          </w:rPr>
          <w:t>Results of Operations—Seasonality</w:t>
        </w:r>
        <w:r>
          <w:rPr>
            <w:rFonts w:ascii="Arial" w:cs="Arial" w:eastAsia="Arial" w:hAnsi="Arial"/>
            <w:sz w:val="18"/>
            <w:szCs w:val="18"/>
            <w:color w:val="000000"/>
          </w:rPr>
          <w:t>.”</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Matters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numerous local, state, federal and other statutes, ordinances, rules and regulations concerning zoning, development, building design, construction and similar matters which impose zoning and density requirements, the result of which is to limit the number of homes or mandate the type of structure that can be built, within the boundaries of a particular area. Projects that are not entitled may be subjected to periodic delays, changes in use, less intensive development or elimination of development in certain specific areas due to government regulations. We may also be subject to periodic delays or may be precluded entirely from developing in certain communities due to building moratoriums or “slow-growth” or “no-growth” initiatives that could be implemented in the future. Local governments also have broad discretion regarding the imposition of development fees for projects in their jurisdiction. Projects for which we have received land use and development entitlements or approvals may still require a variety of other governmental approvals and permits during the development process and can also be impacted adversely by unforeseen health, safety and welfare issues, which can further delay these projects or prevent their development.</w:t>
      </w:r>
    </w:p>
    <w:p>
      <w:pPr>
        <w:spacing w:after="0" w:line="7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are also subject to a variety of local, state, federal and other statutes, ordinances, rules and regulations concerning the environment. The particular environmental laws which apply to any given homebuilding site vary according to multiple factors, including the site’s location, its environmental conditions and the present and former uses of the site, as well as adjoining properties. Environmental laws and conditions may result in delays, may cause us to incur substantial compliance and other costs, and can prohibit or severely restrict homebuilding activity in environmentally sensitive regions or areas. In addition, in those cases where an endangered or threatened species is involved, environmental rules and regulations can result in the restriction or elimination of development in identified environmentally sensitive areas. From time to time, the United States Environmental Protection Agency (the “EPA”) and similar federal or state agencies review homebuilders’ compliance with environmental laws and may levy fines and penalties for failure to strictly comply with applicable environmental laws or impose additional requirements for future compliance as a result of past failures. Any such actions taken with respect to us may increase our costs. Further, we expect that increasingly stringent requirements may be imposed on homebuilders in the future. Environmental regulations can also have an adverse impact on the availability and price of certain raw materials such as lumber.</w:t>
      </w:r>
    </w:p>
    <w:p>
      <w:pPr>
        <w:spacing w:after="0" w:line="6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Under various environmental laws, current or former owners of real estate, as well as certain other categories of parties, may be required to investigate and clean up hazardous or toxic substances or petroleum product releases, and may be held liable to a governmental entity or to third parties for related damages, including for bodily injury, and for investigation and clean-up costs incurred by such parties in connection with the contamination. A mitigation system may be installed during the construction of a home if a cleanup does not remove all contaminants of concern or to address a naturally occurring condition such as methane. Some homebuyers may not want to purchase a home with a mitigation system.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U.S. homebuilding industry is highly competitive. We compete in each of our markets with numerous other national, regional and local homebuilders for homebuyers, desirable properties, raw materials and skilled labor. We also compete with sales of existing homes and with the rental housing market. Our homes compete on the basis of quality, price, design, mortgage financing terms and location. There has been some consolidation among national homebuilders in the United States, and we expect that this trend may continue.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2019, we employed 953 people, of whom 90 were located at our corporate headquarters, 610 were on-site sales and support personnel, and 253 were involved with construction. None of our employees are covered by collective bargaining agreements. We believe we have good relations with our employees.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We make available, as soon as reasonably practicable, on our website, </w:t>
      </w:r>
      <w:r>
        <w:rPr>
          <w:rFonts w:ascii="Arial" w:cs="Arial" w:eastAsia="Arial" w:hAnsi="Arial"/>
          <w:sz w:val="16"/>
          <w:szCs w:val="16"/>
          <w:u w:val="single" w:color="auto"/>
          <w:color w:val="0094FF"/>
        </w:rPr>
        <w:t>www.lgihomes.com</w:t>
      </w:r>
      <w:r>
        <w:rPr>
          <w:rFonts w:ascii="Arial" w:cs="Arial" w:eastAsia="Arial" w:hAnsi="Arial"/>
          <w:sz w:val="16"/>
          <w:szCs w:val="16"/>
          <w:color w:val="auto"/>
        </w:rPr>
        <w:t xml:space="preserve">, all of our reports required to be filed with the Securities and Exchange Commission (“SEC”). These reports can be found on the “Investor Relations” page of our website under “SEC Filings” and include our annual and quarterly reports on Form 10-K and 10-Q (including related filings in XBRL format), current reports on Form 8-K, beneficial ownership reports on Forms 3, 4, and 5, proxy statements and amendments to such reports. Our SEC filings are also available to the public on the SEC’s website at </w:t>
      </w:r>
      <w:r>
        <w:rPr>
          <w:rFonts w:ascii="Arial" w:cs="Arial" w:eastAsia="Arial" w:hAnsi="Arial"/>
          <w:sz w:val="16"/>
          <w:szCs w:val="16"/>
          <w:u w:val="single" w:color="auto"/>
          <w:color w:val="0094FF"/>
        </w:rPr>
        <w:t>www.sec.gov</w:t>
      </w:r>
      <w:r>
        <w:rPr>
          <w:rFonts w:ascii="Arial" w:cs="Arial" w:eastAsia="Arial" w:hAnsi="Arial"/>
          <w:sz w:val="16"/>
          <w:szCs w:val="16"/>
          <w:color w:val="auto"/>
        </w:rPr>
        <w:t xml:space="preserve">. In addition to our SEC filings, our corporate governance documents, including our Corporate Governance Guidelines and Code of Business Conduct and Ethics, are available on the “Investor Relations” page of our website under “Corporate Governance” at </w:t>
      </w:r>
      <w:r>
        <w:rPr>
          <w:rFonts w:ascii="Arial" w:cs="Arial" w:eastAsia="Arial" w:hAnsi="Arial"/>
          <w:sz w:val="16"/>
          <w:szCs w:val="16"/>
          <w:u w:val="single" w:color="auto"/>
          <w:color w:val="0094FF"/>
        </w:rPr>
        <w:t>https://investor.lgihomes.com/corporate-governance</w:t>
      </w:r>
      <w:r>
        <w:rPr>
          <w:rFonts w:ascii="Arial" w:cs="Arial" w:eastAsia="Arial" w:hAnsi="Arial"/>
          <w:sz w:val="16"/>
          <w:szCs w:val="16"/>
          <w:color w:val="auto"/>
        </w:rPr>
        <w:t>. Our stockholders may also obtain these documents in paper format free of charge upon request made to our Investor Relations department.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regarding our executive officers as of February 25, 2020:</w:t>
      </w: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020" w:type="dxa"/>
            <w:vAlign w:val="bottom"/>
          </w:tcPr>
          <w:p>
            <w:pPr>
              <w:spacing w:after="0"/>
              <w:rPr>
                <w:sz w:val="14"/>
                <w:szCs w:val="14"/>
                <w:color w:val="auto"/>
              </w:rPr>
            </w:pPr>
          </w:p>
        </w:tc>
        <w:tc>
          <w:tcPr>
            <w:tcW w:w="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Age</w:t>
            </w:r>
          </w:p>
        </w:tc>
        <w:tc>
          <w:tcPr>
            <w:tcW w:w="4140" w:type="dxa"/>
            <w:vAlign w:val="bottom"/>
            <w:gridSpan w:val="3"/>
          </w:tcPr>
          <w:p>
            <w:pPr>
              <w:ind w:left="34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tcPr>
          <w:p>
            <w:pPr>
              <w:spacing w:after="0"/>
              <w:rPr>
                <w:sz w:val="20"/>
                <w:szCs w:val="20"/>
                <w:color w:val="auto"/>
              </w:rPr>
            </w:pPr>
            <w:r>
              <w:rPr>
                <w:rFonts w:ascii="Arial" w:cs="Arial" w:eastAsia="Arial" w:hAnsi="Arial"/>
                <w:sz w:val="18"/>
                <w:szCs w:val="18"/>
                <w:color w:val="auto"/>
              </w:rPr>
              <w:t>Eric Lipar</w:t>
            </w:r>
          </w:p>
        </w:tc>
        <w:tc>
          <w:tcPr>
            <w:tcW w:w="3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00" w:type="dxa"/>
            <w:vAlign w:val="bottom"/>
          </w:tcPr>
          <w:p>
            <w:pPr>
              <w:spacing w:after="0"/>
              <w:rPr>
                <w:sz w:val="22"/>
                <w:szCs w:val="22"/>
                <w:color w:val="auto"/>
              </w:rPr>
            </w:pPr>
          </w:p>
        </w:tc>
        <w:tc>
          <w:tcPr>
            <w:tcW w:w="4140" w:type="dxa"/>
            <w:vAlign w:val="bottom"/>
            <w:gridSpan w:val="3"/>
          </w:tcPr>
          <w:p>
            <w:pPr>
              <w:ind w:left="400"/>
              <w:spacing w:after="0"/>
              <w:rPr>
                <w:sz w:val="20"/>
                <w:szCs w:val="20"/>
                <w:color w:val="auto"/>
              </w:rPr>
            </w:pPr>
            <w:r>
              <w:rPr>
                <w:rFonts w:ascii="Arial" w:cs="Arial" w:eastAsia="Arial" w:hAnsi="Arial"/>
                <w:sz w:val="18"/>
                <w:szCs w:val="18"/>
                <w:color w:val="auto"/>
                <w:w w:val="92"/>
              </w:rPr>
              <w:t>Chief Executive Officer and Chairman of the Board</w:t>
            </w:r>
          </w:p>
        </w:tc>
        <w:tc>
          <w:tcPr>
            <w:tcW w:w="0" w:type="dxa"/>
            <w:vAlign w:val="bottom"/>
          </w:tcPr>
          <w:p>
            <w:pPr>
              <w:spacing w:after="0"/>
              <w:rPr>
                <w:sz w:val="1"/>
                <w:szCs w:val="1"/>
                <w:color w:val="auto"/>
              </w:rPr>
            </w:pP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Michael Snider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00" w:type="dxa"/>
            <w:vAlign w:val="bottom"/>
          </w:tcPr>
          <w:p>
            <w:pPr>
              <w:spacing w:after="0"/>
              <w:rPr>
                <w:sz w:val="23"/>
                <w:szCs w:val="23"/>
                <w:color w:val="auto"/>
              </w:rPr>
            </w:pPr>
          </w:p>
        </w:tc>
        <w:tc>
          <w:tcPr>
            <w:tcW w:w="4140" w:type="dxa"/>
            <w:vAlign w:val="bottom"/>
            <w:gridSpan w:val="3"/>
          </w:tcPr>
          <w:p>
            <w:pPr>
              <w:ind w:left="40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Charles Merdian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00" w:type="dxa"/>
            <w:vAlign w:val="bottom"/>
          </w:tcPr>
          <w:p>
            <w:pPr>
              <w:spacing w:after="0"/>
              <w:rPr>
                <w:sz w:val="23"/>
                <w:szCs w:val="23"/>
                <w:color w:val="auto"/>
              </w:rPr>
            </w:pPr>
          </w:p>
        </w:tc>
        <w:tc>
          <w:tcPr>
            <w:tcW w:w="4140" w:type="dxa"/>
            <w:vAlign w:val="bottom"/>
            <w:gridSpan w:val="3"/>
          </w:tcPr>
          <w:p>
            <w:pPr>
              <w:ind w:left="40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Jack Lipar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00" w:type="dxa"/>
            <w:vAlign w:val="bottom"/>
          </w:tcPr>
          <w:p>
            <w:pPr>
              <w:spacing w:after="0"/>
              <w:rPr>
                <w:sz w:val="23"/>
                <w:szCs w:val="23"/>
                <w:color w:val="auto"/>
              </w:rPr>
            </w:pPr>
          </w:p>
        </w:tc>
        <w:tc>
          <w:tcPr>
            <w:tcW w:w="4140" w:type="dxa"/>
            <w:vAlign w:val="bottom"/>
            <w:gridSpan w:val="3"/>
          </w:tcPr>
          <w:p>
            <w:pPr>
              <w:ind w:left="400"/>
              <w:spacing w:after="0"/>
              <w:rPr>
                <w:sz w:val="20"/>
                <w:szCs w:val="20"/>
                <w:color w:val="auto"/>
              </w:rPr>
            </w:pPr>
            <w:r>
              <w:rPr>
                <w:rFonts w:ascii="Arial" w:cs="Arial" w:eastAsia="Arial" w:hAnsi="Arial"/>
                <w:sz w:val="18"/>
                <w:szCs w:val="18"/>
                <w:color w:val="auto"/>
              </w:rPr>
              <w:t>Executive Vice President of Acquisitions</w:t>
            </w:r>
          </w:p>
        </w:tc>
        <w:tc>
          <w:tcPr>
            <w:tcW w:w="0" w:type="dxa"/>
            <w:vAlign w:val="bottom"/>
          </w:tcPr>
          <w:p>
            <w:pPr>
              <w:spacing w:after="0"/>
              <w:rPr>
                <w:sz w:val="1"/>
                <w:szCs w:val="1"/>
                <w:color w:val="auto"/>
              </w:rPr>
            </w:pPr>
          </w:p>
        </w:tc>
      </w:tr>
      <w:tr>
        <w:trPr>
          <w:trHeight w:val="270"/>
        </w:trPr>
        <w:tc>
          <w:tcPr>
            <w:tcW w:w="3580" w:type="dxa"/>
            <w:vAlign w:val="bottom"/>
            <w:gridSpan w:val="3"/>
          </w:tcPr>
          <w:p>
            <w:pPr>
              <w:spacing w:after="0"/>
              <w:rPr>
                <w:sz w:val="20"/>
                <w:szCs w:val="20"/>
                <w:color w:val="auto"/>
              </w:rPr>
            </w:pPr>
            <w:r>
              <w:rPr>
                <w:rFonts w:ascii="Arial" w:cs="Arial" w:eastAsia="Arial" w:hAnsi="Arial"/>
                <w:sz w:val="18"/>
                <w:szCs w:val="18"/>
                <w:color w:val="auto"/>
              </w:rPr>
              <w:t>Rachel Eaton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400" w:type="dxa"/>
            <w:vAlign w:val="bottom"/>
          </w:tcPr>
          <w:p>
            <w:pPr>
              <w:spacing w:after="0"/>
              <w:rPr>
                <w:sz w:val="23"/>
                <w:szCs w:val="23"/>
                <w:color w:val="auto"/>
              </w:rPr>
            </w:pPr>
          </w:p>
        </w:tc>
        <w:tc>
          <w:tcPr>
            <w:tcW w:w="4140" w:type="dxa"/>
            <w:vAlign w:val="bottom"/>
            <w:gridSpan w:val="3"/>
          </w:tcPr>
          <w:p>
            <w:pPr>
              <w:ind w:left="400"/>
              <w:spacing w:after="0"/>
              <w:rPr>
                <w:sz w:val="20"/>
                <w:szCs w:val="20"/>
                <w:color w:val="auto"/>
              </w:rPr>
            </w:pPr>
            <w:r>
              <w:rPr>
                <w:rFonts w:ascii="Arial" w:cs="Arial" w:eastAsia="Arial" w:hAnsi="Arial"/>
                <w:sz w:val="18"/>
                <w:szCs w:val="18"/>
                <w:color w:val="auto"/>
              </w:rPr>
              <w:t>Chief Marketing Officer</w:t>
            </w:r>
          </w:p>
        </w:tc>
        <w:tc>
          <w:tcPr>
            <w:tcW w:w="0" w:type="dxa"/>
            <w:vAlign w:val="bottom"/>
          </w:tcPr>
          <w:p>
            <w:pPr>
              <w:spacing w:after="0"/>
              <w:rPr>
                <w:sz w:val="1"/>
                <w:szCs w:val="1"/>
                <w:color w:val="auto"/>
              </w:rPr>
            </w:pPr>
          </w:p>
        </w:tc>
      </w:tr>
      <w:tr>
        <w:trPr>
          <w:trHeight w:val="27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Scott Garber</w:t>
            </w:r>
          </w:p>
        </w:tc>
        <w:tc>
          <w:tcPr>
            <w:tcW w:w="240" w:type="dxa"/>
            <w:vAlign w:val="bottom"/>
            <w:vMerge w:val="restart"/>
          </w:tcPr>
          <w:p>
            <w:pPr>
              <w:jc w:val="center"/>
              <w:spacing w:after="0"/>
              <w:rPr>
                <w:sz w:val="20"/>
                <w:szCs w:val="20"/>
                <w:color w:val="auto"/>
              </w:rPr>
            </w:pPr>
            <w:r>
              <w:rPr>
                <w:rFonts w:ascii="Arial" w:cs="Arial" w:eastAsia="Arial" w:hAnsi="Arial"/>
                <w:sz w:val="18"/>
                <w:szCs w:val="18"/>
                <w:color w:val="auto"/>
                <w:w w:val="89"/>
              </w:rPr>
              <w:t>48</w:t>
            </w:r>
          </w:p>
        </w:tc>
        <w:tc>
          <w:tcPr>
            <w:tcW w:w="400" w:type="dxa"/>
            <w:vAlign w:val="bottom"/>
          </w:tcPr>
          <w:p>
            <w:pPr>
              <w:spacing w:after="0"/>
              <w:rPr>
                <w:sz w:val="23"/>
                <w:szCs w:val="23"/>
                <w:color w:val="auto"/>
              </w:rPr>
            </w:pPr>
          </w:p>
        </w:tc>
        <w:tc>
          <w:tcPr>
            <w:tcW w:w="4140" w:type="dxa"/>
            <w:vAlign w:val="bottom"/>
            <w:gridSpan w:val="3"/>
          </w:tcPr>
          <w:p>
            <w:pPr>
              <w:ind w:left="400"/>
              <w:spacing w:after="0"/>
              <w:rPr>
                <w:sz w:val="20"/>
                <w:szCs w:val="20"/>
                <w:color w:val="auto"/>
              </w:rPr>
            </w:pPr>
            <w:r>
              <w:rPr>
                <w:rFonts w:ascii="Arial" w:cs="Arial" w:eastAsia="Arial" w:hAnsi="Arial"/>
                <w:sz w:val="18"/>
                <w:szCs w:val="18"/>
                <w:color w:val="auto"/>
              </w:rPr>
              <w:t>General Counsel and Corporate Secretary</w:t>
            </w:r>
          </w:p>
        </w:tc>
        <w:tc>
          <w:tcPr>
            <w:tcW w:w="0" w:type="dxa"/>
            <w:vAlign w:val="bottom"/>
          </w:tcPr>
          <w:p>
            <w:pPr>
              <w:spacing w:after="0"/>
              <w:rPr>
                <w:sz w:val="1"/>
                <w:szCs w:val="1"/>
                <w:color w:val="auto"/>
              </w:rPr>
            </w:pPr>
          </w:p>
        </w:tc>
      </w:tr>
      <w:tr>
        <w:trPr>
          <w:trHeight w:val="216"/>
        </w:trPr>
        <w:tc>
          <w:tcPr>
            <w:tcW w:w="3580" w:type="dxa"/>
            <w:vAlign w:val="bottom"/>
            <w:gridSpan w:val="3"/>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40" w:firstLine="432"/>
        <w:spacing w:after="0" w:line="276" w:lineRule="auto"/>
        <w:rPr>
          <w:sz w:val="20"/>
          <w:szCs w:val="20"/>
          <w:color w:val="auto"/>
        </w:rPr>
      </w:pPr>
      <w:r>
        <w:rPr>
          <w:rFonts w:ascii="Arial" w:cs="Arial" w:eastAsia="Arial" w:hAnsi="Arial"/>
          <w:sz w:val="17"/>
          <w:szCs w:val="17"/>
          <w:b w:val="1"/>
          <w:bCs w:val="1"/>
          <w:i w:val="1"/>
          <w:iCs w:val="1"/>
          <w:color w:val="auto"/>
        </w:rPr>
        <w:t xml:space="preserve">Eric Lipar. </w:t>
      </w:r>
      <w:r>
        <w:rPr>
          <w:rFonts w:ascii="Arial" w:cs="Arial" w:eastAsia="Arial" w:hAnsi="Arial"/>
          <w:sz w:val="17"/>
          <w:szCs w:val="17"/>
          <w:color w:val="auto"/>
        </w:rPr>
        <w:t>Mr. Lipar is our Chief Executive Officer and serves as Chairman of our Board of Directors. He has served as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2009, as a director since June 2013 and as Chairman of the Board since July 2013. Previously, Mr. Lipar served as our President from 2003 until 2009. Mr. Lipar has been in the residential land development business since the mid-1990s and is one of our founders. He has overseen land acquisition, development and the sales of over 35,000 homes since our inception. Mr. Lipar currently serves on the Residential Neighborhood Development Council for the Urban Land Institute and is a Policy Advisor Board Member for the Harvard Joint Center of Housing Studies.</w:t>
      </w:r>
    </w:p>
    <w:p>
      <w:pPr>
        <w:spacing w:after="0" w:line="227" w:lineRule="exact"/>
        <w:rPr>
          <w:sz w:val="20"/>
          <w:szCs w:val="20"/>
          <w:color w:val="auto"/>
        </w:rPr>
      </w:pPr>
    </w:p>
    <w:p>
      <w:pPr>
        <w:jc w:val="both"/>
        <w:ind w:left="40" w:firstLine="405"/>
        <w:spacing w:after="0" w:line="259" w:lineRule="auto"/>
        <w:rPr>
          <w:sz w:val="20"/>
          <w:szCs w:val="20"/>
          <w:color w:val="auto"/>
        </w:rPr>
      </w:pPr>
      <w:r>
        <w:rPr>
          <w:rFonts w:ascii="Arial" w:cs="Arial" w:eastAsia="Arial" w:hAnsi="Arial"/>
          <w:sz w:val="18"/>
          <w:szCs w:val="18"/>
          <w:b w:val="1"/>
          <w:bCs w:val="1"/>
          <w:i w:val="1"/>
          <w:iCs w:val="1"/>
          <w:color w:val="auto"/>
        </w:rPr>
        <w:t xml:space="preserve">Michael Snider. </w:t>
      </w:r>
      <w:r>
        <w:rPr>
          <w:rFonts w:ascii="Arial" w:cs="Arial" w:eastAsia="Arial" w:hAnsi="Arial"/>
          <w:sz w:val="18"/>
          <w:szCs w:val="18"/>
          <w:color w:val="auto"/>
        </w:rPr>
        <w:t>Mr. Snider has served as our President since 2009 and our Chief Operating Officer since July 2013. He oversees all aspects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construction, and product development. Prior to serving as our President, Mr. Snider was Executive Vice President of Homebuilding (2005-2009) and in the role of Homebuilding Manager (2004). Before joining the Company in 2004, Mr. Snider was a Project Manager for Tadian Homes, a homebuilder based in Troy, Michigan.</w:t>
      </w:r>
    </w:p>
    <w:p>
      <w:pPr>
        <w:spacing w:after="0" w:line="241" w:lineRule="exact"/>
        <w:rPr>
          <w:sz w:val="20"/>
          <w:szCs w:val="20"/>
          <w:color w:val="auto"/>
        </w:rPr>
      </w:pPr>
    </w:p>
    <w:p>
      <w:pPr>
        <w:jc w:val="both"/>
        <w:ind w:left="40" w:firstLine="405"/>
        <w:spacing w:after="0" w:line="291" w:lineRule="auto"/>
        <w:rPr>
          <w:sz w:val="20"/>
          <w:szCs w:val="20"/>
          <w:color w:val="auto"/>
        </w:rPr>
      </w:pPr>
      <w:r>
        <w:rPr>
          <w:rFonts w:ascii="Arial" w:cs="Arial" w:eastAsia="Arial" w:hAnsi="Arial"/>
          <w:sz w:val="16"/>
          <w:szCs w:val="16"/>
          <w:b w:val="1"/>
          <w:bCs w:val="1"/>
          <w:i w:val="1"/>
          <w:iCs w:val="1"/>
          <w:color w:val="auto"/>
        </w:rPr>
        <w:t xml:space="preserve">Charles Merdian. </w:t>
      </w:r>
      <w:r>
        <w:rPr>
          <w:rFonts w:ascii="Arial" w:cs="Arial" w:eastAsia="Arial" w:hAnsi="Arial"/>
          <w:sz w:val="16"/>
          <w:szCs w:val="16"/>
          <w:color w:val="auto"/>
        </w:rPr>
        <w:t>Mr. Merdian has served as our Chief Financial Officer and Treasurer since 2013 and served as our Secretary from 2013 to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becoming our Chief Financial Officer in 2010, Mr. Merdian was our Controller from 2004 through 2010. Prior to joining us in 2004, Mr. Merdian served as Accounting and Finance Manager for The Woodlands Operating Company where he specialized in accounting and financial analysis of real estate ventures, focusing primarily on residential and commercial developments. Prior to The Woodlands Operating Company, Mr. Merdian served as an accounting manager working at the Williamson-Dickie Manufacturing Co. and as a senior auditor for Coopers &amp; Lybrand, LLP. Mr. Merdian has worked in residential real estate and homebuilding finance since 1998. Mr. Merdian is a Certified Public Accountant and is a member of the Texas Society of Certified Public Accountants. In February 2020, Mr. Merdian was elected to serve on the Montgomery County Habitat for Humanity Board of Directors.</w:t>
      </w:r>
    </w:p>
    <w:p>
      <w:pPr>
        <w:spacing w:after="0" w:line="221" w:lineRule="exact"/>
        <w:rPr>
          <w:sz w:val="20"/>
          <w:szCs w:val="20"/>
          <w:color w:val="auto"/>
        </w:rPr>
      </w:pPr>
    </w:p>
    <w:p>
      <w:pPr>
        <w:jc w:val="both"/>
        <w:ind w:left="40" w:firstLine="405"/>
        <w:spacing w:after="0" w:line="255" w:lineRule="auto"/>
        <w:rPr>
          <w:sz w:val="20"/>
          <w:szCs w:val="20"/>
          <w:color w:val="auto"/>
        </w:rPr>
      </w:pPr>
      <w:r>
        <w:rPr>
          <w:rFonts w:ascii="Arial" w:cs="Arial" w:eastAsia="Arial" w:hAnsi="Arial"/>
          <w:sz w:val="18"/>
          <w:szCs w:val="18"/>
          <w:b w:val="1"/>
          <w:bCs w:val="1"/>
          <w:i w:val="1"/>
          <w:iCs w:val="1"/>
          <w:color w:val="auto"/>
        </w:rPr>
        <w:t xml:space="preserve">Jack Lipar. </w:t>
      </w:r>
      <w:r>
        <w:rPr>
          <w:rFonts w:ascii="Arial" w:cs="Arial" w:eastAsia="Arial" w:hAnsi="Arial"/>
          <w:sz w:val="18"/>
          <w:szCs w:val="18"/>
          <w:color w:val="auto"/>
        </w:rPr>
        <w:t>Mr. Lipar has served as our Executive Vice President of Acquisitions since March 2013. He previously served as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from December 2010 through February 2013, and Acquisitions Manager from 2006 to December 2010. Mr. Lipar oversees land acquisitions and development for the Company. Prior to joining us, Mr. Lipar worked at HP Pelzer, an auto parts manufacturing company based in Germany, as the Vice President of Purchasing and Director of Operations. Mr. Lipar was also the General Manager and a member of the Board of Directors at Alliance Interiors, an affiliate of HP Pelzer. Prior to HP Pelzer, Mr. Lipar was a worldwide Purchasing Manager for Cooper Standard, one of the world’s leading manufacturers of automotive parts.</w:t>
      </w:r>
    </w:p>
    <w:p>
      <w:pPr>
        <w:spacing w:after="0" w:line="247" w:lineRule="exact"/>
        <w:rPr>
          <w:sz w:val="20"/>
          <w:szCs w:val="20"/>
          <w:color w:val="auto"/>
        </w:rPr>
      </w:pPr>
    </w:p>
    <w:p>
      <w:pPr>
        <w:jc w:val="both"/>
        <w:ind w:left="40" w:right="2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Rachel Eaton. </w:t>
      </w:r>
      <w:r>
        <w:rPr>
          <w:rFonts w:ascii="Arial" w:cs="Arial" w:eastAsia="Arial" w:hAnsi="Arial"/>
          <w:sz w:val="18"/>
          <w:szCs w:val="18"/>
          <w:color w:val="auto"/>
        </w:rPr>
        <w:t>Ms. Eaton serves as our Chief Marketing Officer and is responsible for the overall growth and direction of our marketing initiatives,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 image, social media, recruiting and information technology. Prior to becoming our Chief Marketing Officer in June 2013, Ms. Eaton served as our Vice President of Marketing and Administration from May 2012 through May 2013 and Director of Marketing &amp; Special Events from 2007 to May 2012. Ms. Eaton joined the Company in 2003.</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40" w:right="20" w:firstLine="405"/>
        <w:spacing w:after="0" w:line="253" w:lineRule="auto"/>
        <w:rPr>
          <w:sz w:val="20"/>
          <w:szCs w:val="20"/>
          <w:color w:val="auto"/>
        </w:rPr>
      </w:pPr>
      <w:r>
        <w:rPr>
          <w:rFonts w:ascii="Arial" w:cs="Arial" w:eastAsia="Arial" w:hAnsi="Arial"/>
          <w:sz w:val="18"/>
          <w:szCs w:val="18"/>
          <w:b w:val="1"/>
          <w:bCs w:val="1"/>
          <w:i w:val="1"/>
          <w:iCs w:val="1"/>
          <w:color w:val="auto"/>
        </w:rPr>
        <w:t xml:space="preserve">Scott Garber. </w:t>
      </w:r>
      <w:r>
        <w:rPr>
          <w:rFonts w:ascii="Arial" w:cs="Arial" w:eastAsia="Arial" w:hAnsi="Arial"/>
          <w:sz w:val="18"/>
          <w:szCs w:val="18"/>
          <w:color w:val="auto"/>
        </w:rPr>
        <w:t>Mr. Garber has served as our General Counsel and Corporate Secretary since April 2018. His responsibilities include all company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as well as corporate governance and risk management. Prior to joining the Company, Mr. Garber served as Assistant General Counsel at Chevron Phillips Chemical Company (CPChem), where he was responsible for major company transactions (both domestic and international) and corporate governance of its Qatar-based joint ventures, and managed commercial legal matters for various company product lines and divisions. Prior to joining CPChem, Mr. Garber served as Associate General Counsel for United Airlines (formerly Continental Airlines), then the world’s largest airline, where he was responsible for its litigation, antitrust and intellectual property matters. Mr. Garber previously worked at Howrey Simon Arnold &amp; White, a major international law firm, where he specialized in all aspects of intellectual property law. Mr. Garber is a member of the State Bar of Texas and is also admitted to practice before the U.S. Patent &amp; Trademark Office. Mr. Garber is also a member of the Board of Directors of Archway Insurance, Ltd, a captive insurance company.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LGI Homes,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Mr. Eric Lipar </w:t>
      </w:r>
      <w:r>
        <w:rPr>
          <w:rFonts w:ascii="Arial" w:cs="Arial" w:eastAsia="Arial" w:hAnsi="Arial"/>
          <w:sz w:val="18"/>
          <w:szCs w:val="18"/>
          <w:color w:val="auto"/>
        </w:rPr>
        <w:t>- Chief Executive Officer of LGI Homes, Inc. and serves as Chairman of our Board of Directors.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Ms. Laura Miller </w:t>
      </w:r>
      <w:r>
        <w:rPr>
          <w:rFonts w:ascii="Arial" w:cs="Arial" w:eastAsia="Arial" w:hAnsi="Arial"/>
          <w:sz w:val="18"/>
          <w:szCs w:val="18"/>
          <w:color w:val="auto"/>
        </w:rPr>
        <w:t>- Former Senior Vice President and Global Chief Information Officer of InterContinental Hotels Group PLC, a multinational hospitality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Mr. Bryan Sansbury </w:t>
      </w:r>
      <w:r>
        <w:rPr>
          <w:rFonts w:ascii="Arial" w:cs="Arial" w:eastAsia="Arial" w:hAnsi="Arial"/>
          <w:sz w:val="20"/>
          <w:szCs w:val="20"/>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and a founding partner of AEGIS Energy Risk, LLC. and serves as our Lead Independent Director.</w:t>
      </w:r>
    </w:p>
    <w:p>
      <w:pPr>
        <w:spacing w:after="0" w:line="13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Mr. Ryan Edone </w:t>
      </w:r>
      <w:r>
        <w:rPr>
          <w:rFonts w:ascii="Arial" w:cs="Arial" w:eastAsia="Arial" w:hAnsi="Arial"/>
          <w:sz w:val="18"/>
          <w:szCs w:val="18"/>
          <w:color w:val="auto"/>
        </w:rPr>
        <w:t>- Chief Financial Officer of Petroleum Wholesale L.P., a distributor of branded and wholesale motor fuel products and operator of retail</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stores/travel centers.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Mr. Duncan Gage </w:t>
      </w:r>
      <w:r>
        <w:rPr>
          <w:rFonts w:ascii="Arial" w:cs="Arial" w:eastAsia="Arial" w:hAnsi="Arial"/>
          <w:sz w:val="16"/>
          <w:szCs w:val="16"/>
          <w:color w:val="auto"/>
        </w:rPr>
        <w:t>- Retired. Former President and Chief Executive Officer of Giant Cement Holdings, Inc. and currently manages his personal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Mr. Steven Smith </w:t>
      </w:r>
      <w:r>
        <w:rPr>
          <w:rFonts w:ascii="Arial" w:cs="Arial" w:eastAsia="Arial" w:hAnsi="Arial"/>
          <w:sz w:val="18"/>
          <w:szCs w:val="18"/>
          <w:color w:val="auto"/>
        </w:rPr>
        <w:t>- Shareholder of Baker Donelson, a law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Mr. Robert Vahradian </w:t>
      </w:r>
      <w:r>
        <w:rPr>
          <w:rFonts w:ascii="Arial" w:cs="Arial" w:eastAsia="Arial" w:hAnsi="Arial"/>
          <w:sz w:val="18"/>
          <w:szCs w:val="18"/>
          <w:color w:val="auto"/>
        </w:rPr>
        <w:t>- Senior Managing Director of GTIS Partners, LP, a global real estate investment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Discussion of our business and operations included in this Annual Report on Form 10-K should be read together with the risk factors set forth below. They describe various risks and uncertainties we are or may become subject to, many of which are difficult to predict or beyond our control. These risks and uncertainties, together with other factors described elsewhere in this report, have the potential to affect our business, financial condition, results of operations, cash flows, strategies or prospects in a material and adverse manner.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Tightening of mortgage lending standards and mortgage financing requirements and rising interest rates could adversely affect the availability of mortgage loans for potential purchasers of our homes and thereby reduce our sales.</w:t>
      </w:r>
    </w:p>
    <w:p>
      <w:pPr>
        <w:spacing w:after="0" w:line="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Almost all purchasers of our homes finance their acquisition through lenders that provide mortgage financing. Mortgage rates have remained low compared to most historical periods for the last several years, which has made the homes we sell more affordable. However, we cannot predict whether interest rates will continue to fall, remain low or rise. If mortgage interest rates increase, the ability of prospective homebuyers to finance home purchases may be adversely affected, and, as a result, our operating results may be significantly negatively impacted. Our homebuilding activities are dependent upon the availability of mortgage financing to homebuyers, which is expected to be impacted by continued regulatory changes and risk appetite of lenders. The financial documentation, down payment amounts and income to debt ratios requirements are subject to change and could become more restrictive. First-time homebuyers are generally more affected by the availability of mortgage financing than other potential homebuyers. These homebuyers are a key source of demand for our new homes. A limited availability of home mortgage financing may adversely affect the volume and sales price of our home sales.</w:t>
      </w:r>
    </w:p>
    <w:p>
      <w:pPr>
        <w:spacing w:after="0" w:line="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federal government has a significant role in supporting mortgage lending through its conservatorship of Federal National Mortgage Association (“Fannie Mae”) and Federal Home Loan Mortgage Corporation (“Freddie Mac”), both of which purchase or insure mortgage loans and mortgage loan-backed securities, and its insurance of mortgage loans through or in connection with the Federal Housing Administration (“FHA”), the Veterans Administration (“VA”) and the U.S. Department of Agriculture (“USDA”). FHA and USDA backing of mortgage loans has been particularly important to the mortgage finance industry and to our business. If either the FHA or USDA raised their down payment requirements or lowered maximum loan amounts, our business could be materially affected. Increased lending volume and losses insured by the FHA have resulted in a reduction of the FHA insurance fund. The USDA rural development program provides for zero down payment and 100% financing for homebuyers in qualifying areas. If the USDA program was discontinued or if funding was decreased, then our business could be adversely affected. In addition, if the USDA changed its determination of areas that are eligible to qualify for the program, it could have an adverse effect on our business. In addition, changes in governmental regulation with respect to mortgage lenders could adversely affect demand for housing.</w:t>
      </w:r>
    </w:p>
    <w:p>
      <w:pPr>
        <w:spacing w:after="0" w:line="70"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availability and affordability of mortgage loans, including interest rates for such loans, could also be adversely affected by a scaling back or termination of the federal government’s mortgage loan-related programs or policies. Because Fannie Mae-, Freddie Mac-, FHA-, USDA- and VA-backed mortgage loans have been an important factor in marketing and selling many of our homes, any limitations or restrictions in the availability of, or higher consumer costs for, such government-backed financing could adversely affect our business, prospects, liquidity, financial condition and results of operations. The elimination or curtailment of state bonds to assist homebuyers could materially and adversely affect our business, prospects, liquidity, financial condition and results of operations.</w:t>
      </w:r>
    </w:p>
    <w:p>
      <w:pPr>
        <w:spacing w:after="0" w:line="8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addition, the 2010 Dodd-Frank Wall Street Reform and Consumer Protection Act (the “Dodd-Frank Act”) established several new standards and requirements relating to the origination, securitizing and servicing of residential consumer mortgage loans. These and other laws and regulations could further restrict the availability and affordability of mortgage loans, which could adversely affect our home sales, financial condition and results of operations.</w:t>
      </w:r>
    </w:p>
    <w:p>
      <w:pPr>
        <w:spacing w:after="0" w:line="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long-term sustainability and growth in our home closings depends in part upon our ability to acquire finished lots and land parcels suitable for residential homebuilding at reasonable prices.</w:t>
      </w:r>
    </w:p>
    <w:p>
      <w:pPr>
        <w:spacing w:after="0" w:line="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long-term sustainability of our operations as well as future growth depends in large part on the price at which we are able to obtain suitable finished lots and land parcels for development to support our homebuilding operation. Our ability to acquire finished lots and land parcels for new single-family homes and other projects may be adversely affected by changes in the general availability of land parcels, the willingness of land sellers to sell land parcels at reasonable prices, competition for available land parcels, availability of financing to acquire land parcels, zoning, regulations that limit housing density, the ability to obtain building permits, environmental requirements and other market conditions and regulatory requirements. If suitable lots or land at reasonable prices become less available, the number of homes we may be able to build and sell could be reduced, and the cost of land could be increased substantially, which could adversely impact us. As competition for suitable land increases, the cost of undeveloped lots and the cost of developing owned land could also rise and the availability of suitable land at acceptable prices may decline,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could adversely impact us. The availability of suitable land assets could also affect the success of our land acquisition strategy, which may impact our ability to maintain or increase the number of our active communities, as well as to sustain and grow our revenue and margins, and achieve or maintain profitability. Additionally, developing undeveloped land is capital intensive and time consuming and we may develop land based upon forecasts and assumptions that prove to be inaccurate, resulting in projects that are not economically viable.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land and lot inventories could adversely affect our business or financial results.</w:t>
      </w:r>
    </w:p>
    <w:p>
      <w:pPr>
        <w:spacing w:after="0" w:line="12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Risks inherent in controlling, purchasing, holding and developing land for new home construction are substantial. The risks inherent in purchasing and developing land parcels increase as consumer demand for housing decreases and the holding period increases. As a result, we may buy and develop land parcels on which homes cannot be profitably built and sold. In certain circumstances, a grant of entitlements or development agreement with respect to a particular parcel of land may include restrictions on the transfer of such entitlements to a buyer of such land, which would negatively impact the price of such entitled land by restricting our ability to sell it for its full entitled value. In addition, inventory carrying costs can be significant and can result in reduced margins or losses in a poorly performing community or market. Developing land and constructing homes takes a significant amount of time and requires a substantial cash investment. Land development is a key part of our operations and we develop land in most of our markets. The time and investment required for development may adversely impact our business. We have substantial real estate inventories that regularly remain on our balance sheet for significant periods of time prior to their sale, during which time we are exposed to the risk of adverse market developments. Our business model is based on building homes before a sales contract is executed and a customer deposit is received. Because interest and other expenses are capitalized only during construction, we recognize interest and maintenance expense on unsold completed homes in inventory. As of December 31, 2019, we had 1,947 completed homes in inventory and 1,768 homes in progress in inventory. In the event there is a downturn in home sales in our markets, our inventory of completed homes could increase, leading to additional financing costs and lower margins, which could have a material adverse effect on our financial results and operations. In the event of significant changes in economic or market conditions, we may have to sell homes at significantly lower margins or at a loss, if we are able to sell them at all. Additionally, deteriorating market conditions could cause us to record significant inventory impairment charges. The recording of a significant inventory impairment could negatively affect our reported earnings per share and negatively impact the market perception of our business.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Labor and raw material shortages and price fluctuations could delay or increase the cost of home construction, which could materially and adversely affect us.</w:t>
      </w:r>
    </w:p>
    <w:p>
      <w:pPr>
        <w:spacing w:after="0" w:line="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residential construction industry experiences labor and raw material shortages from time to time, including shortages in qualified tradespeople and supplies of insulation, drywall, cement, steel and lumber. These labor and raw material shortages can be more severe during periods of strong demand for housing or during periods following natural disasters that have a significant impact on existing residential and commercial structures. Our markets may exhibit a reduced level of skilled labor relative to increased homebuilding demand in these markets. It is uncertain whether these shortages will continue as is, improve or worsen. In addition, pricing for labor and raw materials can be affected by the factors discussed above and various other national, regional, local, economic and political factors, including changes in immigration laws and trends in labor migration. Labor and raw material shortages and price increases for labor and raw materials could cause delays in and increase our costs of home construction, which in turn could have a material adverse effect on our business, prospects, liquidity,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results of operations are dependent on the availability, skill and performance of subcontractors.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engage subcontractors to perform the construction of our homes, and, in many cases, to select and obtain the raw materials. Accordingly, the timing and quality of our construction depend on the availability and skill of our subcontractors. While we anticipate being able to obtain sufficient materials and reliable subcontractors and believe that our relationships with subcontractors are good, we do not have long-term contractual commitments with any subcontractors, and we can provide no assurance that skilled subcontractors will continue to be available at reasonable rates and in our markets. The inability to contract with skilled subcontractors at reasonable rates on a timely basis could have a material adverse effect on our business, prospects, liquidity, financial condition and results of operations.</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Despite our quality control efforts, we may discover from time to time that our subcontractors have engaged in improper construction practices or have installed defective materials in our homes. When we discover these issues, we utilize our subcontractors to repair the homes in accordance with our new home warranty and as required by law. The adverse costs of satisfying our warranty and other legal obligations in these instances may be significant and we may be unable to recover the costs of warranty-related repairs from subcontractors, suppliers and insurers, which could have a material adverse impact on our business, prospects, liquidity, financial condition and results of operations. We may also suffer reputational damage from the actions of subcontractors, which are beyond our control.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limitation on, or reduction or elimination of, tax benefits associated with homeownership would have an adverse effect upon the demand for homes, which could be material to our business.</w:t>
      </w:r>
    </w:p>
    <w:p>
      <w:pPr>
        <w:spacing w:after="0" w:line="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While tax laws generally permit significant expenses associated with homeownership, primarily mortgage interest expense and real estate taxes, to be deducted for the purpose of calculating an individual’s federal and, in many cases, state taxable income, the ability to deduct mortgage interest expense and real estate taxes for federal income tax purposes is limited. The federal government or a state government may change its income tax laws by eliminating, limiting or substantially reducing these income tax benefits without offsetting provisions, which may increase the after-tax cost of owning a new home for many of our potential homebuyers. Any such future changes may have an adverse effect on the homebuilding industry in general. For example, the loss or reduction of homeowner tax deductions could decrease the demand for new homes. Any such future changes could also have a material adverse impact on our business, prospects, liquidity, financial condition and results of operations.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housing market may not continue to grow at the same rate, and any decline in the growth rate in our served housing markets or for the homebuilding industry may materially and adversely affect our business and financial condition.</w:t>
      </w:r>
    </w:p>
    <w:p>
      <w:pPr>
        <w:spacing w:after="0" w:line="58"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Although the housing markets in the geographic areas in which we operate are generally strong, we cannot predict whether and to what extent this will continue, particularly if interest rates for mortgage loans, land costs, and construction costs rise. Other factors that might impact growth in the homebuilding industry include uncertainty in domestic and international financial, credit and consumer lending markets amid slow growth or recessionary conditions in various regions or industries around the world, tight lending standards and practices for mortgage loans that limit consumers’ ability to qualify for mortgage financing to purchase a home, including increased minimum credit score requirements, credit risk/mortgage loan insurance premiums and/or other fees and required down payment amounts, higher home prices, more conservative appraisals, changing consumer preferences, higher loan-to-value ratios and extensive buyer income and asset documentation requirements, changes to mortgage regulations, slower rates of population growth or population decline in our markets, or Federal Reserve policy changes. Given these factors, we can provide no assurance that the present housing market will continue to be strong, whether overall or in our markets.</w:t>
      </w:r>
    </w:p>
    <w:p>
      <w:pPr>
        <w:spacing w:after="0" w:line="8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If there is limited economic growth or declines in employment and consumer income and/or tightening of mortgage lending standards, practices and regulation in the geographic areas in which we operate or if interest rates for mortgage loans or home prices rise, there could likely be a corresponding adverse effect on our business, prospects, liquidity, financial condition and results of operations, including, but not limited to, the number of homes we sell, our average selling prices, the amount of revenues or profits we generate, and the effect may be material.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develop our communities successfully or within expected time-frames, our results of operations could be adversely affected.</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Before a community generates any revenue, time and material expenditures are required to acquire land, obtain development approvals and construct significant portions of project infrastructure, amenities and sales facilities. It can take several years from the time we acquire control of an undeveloped property to the time we make our first home sale on the site. Delays in the development of communities, including delays associated with subcontractors performing the development activities or entitlements, expose us to the risk of changes in market conditions for homes. A decline in our ability to develop and market one of our new undeveloped communities successfully and to generate positive cash flow from these operations in a timely manner could have a material adverse effect on our business and results of operations and on our ability to service our debt and to meet our working capital requirements. In addition, higher than expected absorption rates in existing communities may result in lower than expected inventory levels until the development for replacement communities is completed.</w:t>
      </w:r>
    </w:p>
    <w:p>
      <w:pPr>
        <w:spacing w:after="0" w:line="13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Third-party lenders may not complete mortgage loan originations for our homebuyers in a timely manner or at all, which can lead to cancellations and a lower backlog of orders, or to significant delays in our closing homes sales and recognizing revenues from those homes.</w:t>
      </w:r>
    </w:p>
    <w:p>
      <w:pPr>
        <w:spacing w:after="0" w:line="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homebuyers may obtain mortgage financing for their home purchases from any lender or other provider of their choice. If, due to credit or consumer lending market conditions, reduced liquidity, increased risk retention or minimum capital level obligations and/or regulatory restrictions related to the Dodd-Frank Act or other laws, or other factors or business decisions, these lenders refuse or are unable to provide mortgage loans to our homebuyers, or increase the costs to borrowers to obtain such loans, the number of homes we close and our business, prospects, liquidity, financial condition and results of operations may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suitable bonding for the development of our housing projects.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often required to provide bonds, letters of credit or guarantees to governmental authorities and others to ensure the completion of our projects. As a result of market conditions, some surety providers have been reluctant to issue new bonds and providers may require credit enhancements, such as cash deposits or letters of credit, in order to maintain existing bonds or to issue new bonds. If we are unable to obtain required bonds in the future for our projects, or if we are required to provide credit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enhancements with respect to our current or future bonds or in place of bonds, our business, prospects, liquidity, financial condition and results of operations could be materially and adversely affected.</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homebuilding industry is highly competitive and, if our competitors are more successful or offer better value to our customers, our business could decline.</w:t>
      </w:r>
    </w:p>
    <w:p>
      <w:pPr>
        <w:spacing w:after="0" w:line="5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operate in a very competitive environment that is characterized by competition from a number of other homebuilders and land developers in each market in which we operate. Additionally, there are relatively low barriers to entry into our business. We compete with large national and regional homebuilding companies, some of which have greater financial and operational resources than us, and with smaller local homebuilders and land developers, some of which may have lower administrative costs than us. We may be at a competitive disadvantage with regard to certain of our large national and regional homebuilding competitors whose operations are more geographically diversified than ours, as these competitors may be better able to withstand any future regional downturn in the housing market. Furthermore, our market share in certain of our markets may be lower as compared to some of our competitors. Many of our competitors also have longer operating histories and longstanding relationships with subcontractors and suppliers in the markets in which we operate. This may give our competitors an advantage in marketing their products, securing materials and labor at lower prices and allowing their homes to be delivered to customers more quickly and at more favorable prices. We compete for, among other things, homebuyers, desirable land parcels, financing, raw materials and skilled management and labor resources. Our competitors may independently develop land and construct homes that are substantially similar to our products.</w:t>
      </w:r>
    </w:p>
    <w:p>
      <w:pPr>
        <w:spacing w:after="0" w:line="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Increased competition could hurt our business, as it could prevent us from acquiring attractive land parcels on which to build homes or make such acquisitions more expensive, hinder our market share expansion and cause us to increase our selling incentives and reduce our prices. An oversupply of homes available for sale or discounting of home prices could periodically adversely affect demand for our homes in certain markets and could adversely affect pricing for homes in the markets in which we operate.</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we are unable to compete effectively in our markets, our business could decline disproportionately to our competitors, and our results of operations and financial condition could be adversely affected. We can provide no assurance that we will be able to continue to compete successfully in any of our markets. Our inability to continue to compete successfully in any of our markets could have a material adverse effect on our business, prospects, liquidity, financial condition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make any assurances that our growth or expansion strategies will be successful or not expose us to additional risks.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expanded our business through selected investments in new geographic markets and by diversifying our products in certain markets. Investments in land, lots and home inventories can expose us to risks of economic loss and inventory impairments if housing conditions weaken or we are unsuccessful in implementing our growth strategies.</w:t>
      </w:r>
    </w:p>
    <w:p>
      <w:pPr>
        <w:spacing w:after="0" w:line="7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may develop communities in which we build townhomes or other multi-family homes in addition to single-family homes, sell acreage home sites as a part of the development, sell homes to investors or portfolio management companies, or develop commercial properties that may be complementary to our communities. We might acquire another homebuilder or developer in order to accomplish our growth or expansion strategies. We can give no assurance that we will be able to successfully identify, acquire or implement these new strategies in the future. Accordingly, any such expansion, including through acquisition, could expose us to significant risks, beyond those associated with operating our existing business, including understanding and complying with the laws and regulations of new jurisdictions, diversion of our management’s attention from ongoing business concerns, difficulties in integrating an acquired business, and incurrence of unanticipated liabilities and expenses and may materially adversely affect our business, prospects, liquidity, financial condition and results of operations.</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incur a variety of costs to engage in future growth or expansion of our operations, including through add-on acquisitions, and the anticipated benefits may never be realized.</w:t>
      </w:r>
    </w:p>
    <w:p>
      <w:pPr>
        <w:spacing w:after="0" w:line="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intend to grow our operations in existing markets, and we may expand into new markets or pursue opportunistic purchases of other homebuilders on attractive terms as they present themselves. We may be unable to achieve the anticipated benefits of any such growth or expansion, including through add-on acquisitions, the anticipated benefits may take longer to realize than expected or we may incur greater costs than expected in attempting to achieve the anticipated benefits. In such cases, we will likely need to employ additional personnel or consultants that are knowledgeable of such markets. There can be no assurance that we will be able to employ or retain the necessary personnel to successfully implement a disciplined management process and culture with local management, that our expansion operations will be successful, or that we will be able to successfully integrate any acquired homebuilder. This could disrupt our ongoing operations and divert management resources that would otherwise focus on developing our existing business. Accordingly, any such expansion could expose us to significant risks beyond those associated with operating our existing business and may adversely affect our business, prospects, liquidity,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warranty and liability claims arising in the ordinary course of business that can be significant.</w:t>
      </w:r>
    </w:p>
    <w:p>
      <w:pPr>
        <w:spacing w:after="0" w:line="121"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As a homebuilder and developer, we are subject to construction defect, product liability and home and other warranty claims, including moisture intrusion and related claims, arising in the ordinary course of business. These claims are common to the homebuilding industry and can be costly. There can be no assurance that any developments we undertake will be free from defects once completed and any defects attributable to us may lead to significant contractual or other liabilities. We rely on subcontractors to perform the construction of our homes, and, in some cases, to select and obtain building materials. Although we provide subcontractors with detailed specifications and we perform quality control procedures, subcontractors may, in some cases, use improper construction processes or defective materials. Defective products used in construction of our homes can result in the need to perform extensive repairs. The cost of performing such repairs, or litigation arising out of such issues, may be significant if we are unable to recover the costs from subcontractors, suppliers and/or insurers. Warranty and construction defect matters can also result in negative publicity, such as on social media outlets, which could damage our reputation and negatively affect our ability to sell homes.</w:t>
      </w:r>
    </w:p>
    <w:p>
      <w:pPr>
        <w:spacing w:after="0" w:line="74"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We maintain, and require our subcontractors to maintain, general liability insurance (including construction defect and bodily injury coverage) and workers’ compensation insurance and generally seek to require our subcontractors to indemnify us for liabilities arising from their work. While these insurance policies, subject to deductibles and other coverage limits, and indemnities protect us against a portion of our risk of loss from claims related to our land development and homebuilding activities, we cannot provide assurance that these insurance policies and indemnities will be adequate to address all our home and other warranty, product liability and construction defect claims in the future, or that any potential inadequacies will not have an adverse effect on our business, financial condition or results of operations. Further, the coverage offered by and the availability of general liability insurance for completed operations and construction defects are currently limited and costly. We cannot provide assurance that coverage will not be further restricted, increasing our risks and financial exposure to claims, and/or become costlier.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litigation, which could materially and adversely affect us.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subject to litigation and we may in the future be subject to enforcement actions, such as claims relating to our operations, securities offerings and otherwise in the ordinary course of business. Some of these claims may result in significant defense costs and potentially significant judgments against us, some of which are not, or cannot be, insured against. We cannot be certain of the ultimate outcomes of any claims that may arise in the future. Resolution of these types of matters against us may result in our having to pay significant fines, judgments, or settlements, which, if uninsured or in excess of insured levels, could adversely impact our earnings and cash flows, thereby materially and adversely affecting us. Certain litigation or the resolution thereof may affect the availability or cost of some of our insurance coverage, which could materially and adversely impact us, expose us to increased risks that would be uninsured, and materially and adversely impact our ability to attract directors and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laws and regulations may adversely affect us.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required to comply with laws and regulations governing many aspects of our business, such as land acquisition and development, home construction and sales, and employment practices. Despite our oversight, contractual protections, and other mitigation efforts, our employees or subcontractors could violate some of these laws or regulations, as a result of which we may incur fines, penalties or other liabilities and our reputation with governmental agencies, customers, vendors or suppliers could be damaged.</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New and existing laws and regulations or other governmental actions may increase our expenses, limit the number of homes that we can build or delay completion of our projects.</w:t>
      </w:r>
    </w:p>
    <w:p>
      <w:pPr>
        <w:spacing w:after="0" w:line="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subject to numerous local, state, federal and other statutes, ordinances, rules and regulations concerning zoning, development, building design, construction, accessibility, anti-discrimination and other matters, which, among other things, impose restrictive zoning and density requirements, the result of which is to limit the number of homes that can be built within the boundaries of a particular area. We may encounter issues with entitlement, not identify all entitlement requirements during the pre-development review of a project site, or encounter zoning changes that impact our operations. Projects for which we have not received land use and development entitlements or approvals may be subjected to periodic delays, changes in use, less intensive development or elimination of development in certain specific areas due to government regulations. We may also be subject to periodic delays or may be precluded entirely from developing in certain communities due to building moratoriums or zoning changes. Such moratoriums generally relate to insufficient water supplies, sewage facilities, delays in utility hook-ups, or inadequate road capacity within specific market areas or subdivisions. Local governments also have broad discretion regarding the imposition of development fees for projects in their jurisdiction. Projects for which we have received land use and development entitlements or approvals may still require a variety of other governmental approvals and permits during the development process and can also be impacted adversely by unforeseen health, safety and welfare issues, which can further delay these projects or prevent their development. As a result of any of these statutes, ordinances, rules or regulations, the timing of our home sales could be delayed,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our home sales could decline and/or our costs could increase, which could have a material adverse effect on our business, prospects, liquidity, financial condition and results of operations.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environmental laws and regulations, which may increase our costs, result in liabilities, limit the areas in which we can build homes and delay completion of our projects.</w:t>
      </w:r>
    </w:p>
    <w:p>
      <w:pPr>
        <w:spacing w:after="0" w:line="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subject to a variety of local, state, federal and other laws, statutes, ordinances, rules and regulations concerning the environment, hazardous materials, the discharge of pollutants and human health and safety. The particular environmental requirements that apply to any given site vary according to multiple factors, including the site’s location, its environmental conditions, the current and former uses of the site, the presence or absence of endangered plants or animals or sensitive habitats, and conditions at nearby properties. We may not identify all of these concerns during any pre-acquisition or pre-development review of project sites. Environmental requirements and conditions may result in delays, may cause us to incur substantial compliance and other costs, and can prohibit or severely restrict development and homebuilding activity in environmentally sensitive regions or in areas contaminated by others before we commence development. In some instances, regulators from different governmental agencies do not concur on development, remedial standards or property use restrictions for a project, and the resulting delays or additional costs can be material for a given project.</w:t>
      </w:r>
    </w:p>
    <w:p>
      <w:pPr>
        <w:spacing w:after="0" w:line="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From time to time, the EPA and similar federal, state or local agencies review land developers’ and homebuilders’ compliance with environmental laws and may levy fines and penalties or other enforcement actions for failure to strictly comply with applicable environmental laws, including those applicable to control storm water discharges during construction, or impose additional requirements for future compliance as a result of past failures. Any such actions taken with respect to us may increase our costs and result in project delays. We expect that increasingly stringent requirements will be imposed on land developers and homebuilders in the future. We cannot assure you that environmental, health and safety laws will not change or become more stringent in the future in a manner that could have a material adverse effect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 can also have an adverse impact on the availability and price of certain raw materials, such as lumber.</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There is a growing concern from advocacy groups and the general public that the emissions of greenhouse gases and other human activities have caused, or will cause, significant changes in weather patterns and temperatures and the frequency and severity of natural disasters. Government mandates, standards and regulations enacted in response to these projected climate change impacts could result in restrictions on land development in certain areas or increased energy, transportation and raw material costs. A variety of new legislation may be enacted or considered for enactment at the federal, state and local levels relating to energy and climate change. This legislation could relate to, for example, items such as carbon dioxide emissions control and building codes that impose energy efficiency standards. New building code requirements that impose stricter energy efficiency standards or requirements for building materials could significantly increase our cost to construct homes. As climate change concerns continue to grow, legislation and regulations of this nature are expected to continue to be enacted and become costlier to comply with. Similarly, energy-related initiatives affect a wide variety of companies throughout the United States and because our operations are heavily dependent on significant amounts of raw materials, such as lumber, steel, and concrete, they could have an indirect adverse impact on our operations and profitability to the extent the manufacturers and suppliers of our materials are burdened with expensive cap and trade or similar energy-related regulations.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leasing or occupation of land and the use of hazardous materials carries potential environmental risks and liabilities.</w:t>
      </w:r>
    </w:p>
    <w:p>
      <w:pPr>
        <w:spacing w:after="0" w:line="121"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are subject to a variety of local, state and federal statutes, rules and regulations concerning easements, land use and the protection of health and the environment, including those governing discharge of pollutants to soil, water and air, the handling of hazardous materials such as asbestos, and the cleanup of contaminated sites. We may be liable for the costs of removal, investigation or remediation of man-made or natural hazardous or toxic substances located on, under or in a property currently or formerly owned, leased or occupied by us, whether or not we caused or knew of the pollution.</w:t>
      </w:r>
    </w:p>
    <w:p>
      <w:pPr>
        <w:spacing w:after="0" w:line="63"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particular impact and requirements of environmental laws that apply to any given community vary greatly according to the site, its environmental conditions and the present and former uses of the site. We expect that increasingly stringent requirements may be imposed on land developers and homebuilders in the future. Environmental laws may result in delays, cause us to implement time consuming and expensive compliance programs and prohibit or severely restrict development in certain environmentally sensitive regions or areas, such as wetlands. Concerns could arise due to post-acquisition changes in laws or agency policies, or the interpretation thereof.</w:t>
      </w:r>
    </w:p>
    <w:p>
      <w:pPr>
        <w:spacing w:after="0" w:line="8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Furthermore, we could incur substantial costs, including cleanup costs, fines, penalties and other sanctions and damages from third-party claims for property damage or personal injury, as a result of our failure to comply with, or liabilities under, applicable environmental laws and regulations. These matters could adversely affect our business, prospects, liquidity, financial condition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As a homebuilding and land development business with a wide variety of historic ownership, development, homebuilding and construction activities, we could be liable for future claims for damages as a result of the past or present use of hazardous materials, including building materials or fixtures known or suspected to be hazardous or to contain hazardous materials or due to use of building materials or fixtures that are associated with mold. Any such claims may adversely affect our business, prospects, financial condition and results of operations. Insurance coverage for such claims may be limited or nonexistent.</w:t>
      </w:r>
    </w:p>
    <w:p>
      <w:pPr>
        <w:spacing w:after="0" w:line="46"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We have provided unsecured environmental indemnities to certain lenders and other contractual counterparties. These indemnities obligate us to reimburse the guaranteed parties for damages related to environmental matters, and generally there is no term or damage limitation on these indemnities.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Because of the seasonal nature of our business, our quarterly operating results fluctuate.</w:t>
      </w:r>
    </w:p>
    <w:p>
      <w:pPr>
        <w:spacing w:after="0" w:line="121" w:lineRule="exact"/>
        <w:rPr>
          <w:sz w:val="20"/>
          <w:szCs w:val="20"/>
          <w:color w:val="auto"/>
        </w:rPr>
      </w:pPr>
    </w:p>
    <w:p>
      <w:pPr>
        <w:jc w:val="both"/>
        <w:ind w:firstLine="405"/>
        <w:spacing w:after="0" w:line="253" w:lineRule="auto"/>
        <w:rPr>
          <w:rFonts w:ascii="Arial" w:cs="Arial" w:eastAsia="Arial" w:hAnsi="Arial"/>
          <w:sz w:val="18"/>
          <w:szCs w:val="18"/>
          <w:color w:val="auto"/>
        </w:rPr>
      </w:pPr>
      <w:r>
        <w:rPr>
          <w:rFonts w:ascii="Arial" w:cs="Arial" w:eastAsia="Arial" w:hAnsi="Arial"/>
          <w:sz w:val="18"/>
          <w:szCs w:val="18"/>
          <w:color w:val="auto"/>
        </w:rPr>
        <w:t>As discussed under “</w:t>
      </w:r>
      <w:hyperlink w:anchor="page40">
        <w:r>
          <w:rPr>
            <w:rFonts w:ascii="Arial" w:cs="Arial" w:eastAsia="Arial" w:hAnsi="Arial"/>
            <w:sz w:val="18"/>
            <w:szCs w:val="18"/>
            <w:u w:val="single" w:color="auto"/>
            <w:color w:val="0000EE"/>
          </w:rPr>
          <w:t>Management’s Discussion and Analysis of Financial Condition and Results of Operations—Seasonality</w:t>
        </w:r>
      </w:hyperlink>
      <w:r>
        <w:rPr>
          <w:rFonts w:ascii="Arial" w:cs="Arial" w:eastAsia="Arial" w:hAnsi="Arial"/>
          <w:sz w:val="18"/>
          <w:szCs w:val="18"/>
          <w:color w:val="auto"/>
        </w:rPr>
        <w:t>,” we have historically experienced, and in the future expect to continue to experience, variability in our results of operations from quarter to quarter due to the seasonal nature of the homebuilding industry. We generally close more homes in our second, third and fourth quarters. Thus, our revenue may fluctuate on a quarterly basis and we may have higher capital requirements in our second, third and fourth quarters in order to maintain our inventory levels. Accordingly, there is a risk that we will invest significant amounts of capital in the acquisition and development of land and construction of homes that we do not sell at anticipated pricing levels or within anticipated time frames. If, due to market conditions, construction delays or other causes, we do not complete home sales at anticipated pricing levels or within anticipated time frames, our business, prospects, liquidity, financial condition and results of operations would be adversely affected. We expect this seasonal pattern to continue over the long term but we can make no assurances as to the degree to which our historical seasonal patterns will occur in the future.</w:t>
      </w:r>
    </w:p>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weather and geological conditions may increase costs, cause project delays and reduce consumer demand for housing, all of which could materially and adversely affect us.</w:t>
      </w:r>
    </w:p>
    <w:p>
      <w:pPr>
        <w:spacing w:after="0" w:line="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 homebuilder and land developer, we are subject to the risks associated with numerous weather-related and geologic events. These weather-related and geologic events include but are not limited to hurricanes, tornadoes, droughts, floods, brushfires, wildfires, prolonged periods of precipitation, landslides, soil subsidence, earthquakes and other natural disasters. The occurrence of any of these events could damage our land parcels and projects, cause delays in completion of our projects, reduce consumer demand for housing, and cause shortages and price increases in labor or raw materials, any of which could affect our sales and profitability. In addition to directly damaging our land or projects, many of these natural events could damage roads and highways providing access to those assets or affect the desirability of our land or projects, thereby adversely affecting our ability to market homes or sell land in those areas and possibly increasing the costs of homebuilding completion.</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are some risks of loss for which we may be unable to purchase insurance coverage. For example, losses associated with hurricanes, landslides, prolonged periods of precipitation, earthquakes and other weather-related and geologic events may not be insurable and other losses, such as those arising from terrorism, may not be economically insurable. A sizeable uninsured loss could materially and adversely affect our business, prospects, liquidity,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factors affecting the homebuilding industry in our current markets could materially and adversely affect us.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business strategy is focused on the acquisition of suitable land and the design, construction and sale of primarily single-family homes in residential subdivisions, including planned communities, in Texas, Arizona, Florida, Georgia, New Mexico, Colorado, North Carolina, South Carolina, Washington, Tennessee, Minnesota, Oklahoma, Oregon, Alabama, California, Nevada, Virginia, and West Virginia. In addition, we have land purchase contracts for the right to purchase land or lots at a future point in time in Maryland, Pennsylvania and Utah. A prolonged economic downturn in the future in one or more of these areas, or a particular industry that is fundamental to one of these areas, particularly within Texas, could have a material adverse effect on our business, prospects, liquidity, financial condition and results of operations. Our communities in California are especially susceptible to restrictive government regulations and environmental laws. To the extent the oil and gas industries, which can be very volatile, are negatively impacted by declining commodity prices, climate change, legislation or other factors, a result could be a reduction in employment or other negative economic consequences, which in turn could adversely impact our home sales and activities in Texas and certain of our other markets.</w:t>
      </w:r>
    </w:p>
    <w:p>
      <w:pPr>
        <w:spacing w:after="0" w:line="7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Moreover, certain insurance companies doing business in Florida and Texas have restricted, curtailed or suspended the issuance of homeowners’ insurance policies on single-family homes. This has both reduced the availability of hurricane and other types of natural disaster insurance in Florida and Texas, in general, and increased the cost of such insurance to prospective purchasers of homes in Florida and Texas. Mortgage financing for a new home is conditioned, among other things, on the availability of adequate homeowners’ insurance. There can be no assurance that homeowners’ insurance will be available or affordable to prospective purchasers of our homes offered for sale in the Florida and Texas markets. Long-term restrictions on, or unavailability of, homeowners’ insurance in the Florida and Texas markets could have an adverse effect on the homebuilding industry in such markets in general, and on our business within such markets in particular. Additionally, the availability of permits for new homes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new and existing developments has been adversely affected by the significantly limited capacity of the schools, roads, and other infrastructure in such markets.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adverse conditions in these markets develop in the future, it could have a material adverse effect on our business, prospects, liquidity, financial condition and results of operations. Furthermore, if buyer demand for new homes in these markets decreases, home prices could decline, which would have a material adverse effect on our business.</w:t>
      </w:r>
    </w:p>
    <w:p>
      <w:pPr>
        <w:spacing w:after="0" w:line="12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Difficulty in obtaining sufficient capital could result in an inability to acquire land for our developments or increased costs and delays in the completion of development projects, increase home construction costs or delay home construction entirely.</w:t>
      </w:r>
    </w:p>
    <w:p>
      <w:pPr>
        <w:spacing w:after="0" w:line="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homebuilding and land development industry is capital-intensive and requires significant up-front expenditures to acquire land parcels and begin development. In addition, if housing markets are not favorable or permitting or development takes longer than anticipated, we may be required to hold our investments in land for extended periods of time. If internally generated funds are not sufficient, we may seek additional capital in the form of equity or debt financing from a variety of potential sources, including additional bank financings and/or securities offerings. The availability of borrowed funds, especially for land acquisition and construction financing, may be constrained regionally or nationally, and the lending community may require increased amounts of equity to be invested in a project by borrowers in connection with both new loans and the extension of existing loans. Since the global recession in 2008, credit and capital markets have, from time to time, experienced unusual volatility. If we are required to seek additional financing to fund our operations, continued volatility in these markets may restrict our flexibility to access such financing. Furthermore, any downgrade of our credit ratings or other negative rating actions by credit agencies may make it more difficult and costly for us to access capital. If we are not successful in obtaining sufficient funding for our planned capital and other expenditures or if we do not properly allocate our funding, we may be unable to acquire additional land for development and/or to construct new housing. Additionally, if we cannot obtain additional financing to fund the purchase of land under our purchase contracts, we may incur contractual penalties, fees and increased expenses from the write-off of due diligence and pre-acquisition costs. Any difficulty in obtaining sufficient capital for planned development expenditures could also cause project delays and any such delay could result in cost increases. Any one or more of the foregoing events could have a material adverse effect on our business, prospects, liquidity, financial condition and results of operations.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industry is cyclical and adverse changes in general and local economic conditions could reduce the demand for homes and, as a result, could have a material adverse effect on us.</w:t>
      </w:r>
    </w:p>
    <w:p>
      <w:pPr>
        <w:spacing w:after="0" w:line="5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business can be substantially affected by adverse changes in general economic or business conditions that are outside of our control, including changes in short-term and long-term interest rates; employment levels and job and personal income growth; housing demand from population growth, household formation and other demographic changes, among other factors; availability and pricing of mortgage financing for homebuyers; consumer confidence generally and the confidence of potential homebuyers in particular; consumer spending; financial system and credit market stability; private party and government mortgage loan programs (including changes in FHA, USDA, VA, Fannie Mae and Freddie Mac conforming mortgage loan limits, credit risk/mortgage loan insurance premiums and/or other fees, down payment requirements and underwriting standards), and federal and state regulation, oversight and legal action regarding lending, appraisal, foreclosure and short sale practices; federal and state personal income tax rates and provisions, including provisions for the deduction of mortgage loan interest payments, real estate taxes and other expenses; supply of and prices for available new or resale homes (including lender-owned homes) and other housing alternatives, such as apartments, single-family rentals and other rental housing; homebuyer interest in our current or new product designs and new home community locations; general consumer interest in purchasing a home compared to choosing other housing alternatives; interest of financial institutions or other businesses in purchasing wholesale homes; and real estate taxes. Adverse changes in these conditions may affect our business nationally or may be more prevalent or concentrated in particular submarkets in which we operate. Inclement weather, natural disasters (such as earthquakes, hurricanes, tornadoes, floods, prolonged periods of precipitation, droughts and fires), other calamities and other environmental conditions can delay the delivery of our homes and/or increase our costs. Civil unrest or acts of terrorism can also have a negative effect on our business. If the homebuilding industry experiences another significant or sustained downturn, it would materially adversely affect our business and results of operations in future years.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potential difficulties described above can cause demand and prices for our homes to fall or cause us to take longer and incur more costs to develop the land and build our homes. We may not be able to recover these increased costs by raising prices because of market conditions. The potential difficulties could also lead some homebuyers to cancel or refuse to honor their home purchase contracts altogether.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could adversely affect our business and financial results.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Inflation could adversely affect our business and financial results by increasing the costs of land, raw materials and labor needed to operate our business. If our markets have an oversupply of homes relative to demand, we may be unable to offset any such increases in costs with corresponding higher sales prices for our homes. Inflation may also accompany higher interest rates, which could adversely impact potential customers’ ability to obtain financing on favorable terms, thereby further decreasing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demand. If we are unable to raise the prices of our homes to offset the increasing costs of our operations, our margins could decrease. Furthermore, if we need to lower the price of our homes to meet demand, the value of our land inventory may decrease. Inflation may also raise our costs of capital and decrease our purchasing power, making it more difficult to maintain sufficient funds to operate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changes may adversely affect us.</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currently do not hedge against interest rate fluctuations. We may obtain in the future one or more forms of interest rate protection in the form of swap agreements, interest rate cap contracts or similar agreements to hedge against the possible negative effects of interest rate fluctuations. However, we cannot assure you that any hedging will adequately relieve the adverse effects of interest rate increases or that counterparties under these agreements will honor their obligations thereunder. In addition, we may be subject to risks of default by hedging counterparties. Adverse economic conditions could also cause the terms on which we borrow to be unfavorable. We could be required to liquidate one or more of our assets at times which may not permit us to receive an attractive return on our assets in order to meet our debt service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suffer uninsured losses or material losses in excess of insurance limits.</w:t>
      </w:r>
    </w:p>
    <w:p>
      <w:pPr>
        <w:spacing w:after="0" w:line="12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could suffer physical damage to property and liabilities resulting in losses that may not be fully recoverable by insurance. Insurance against certain types of risks, such as terrorism, earthquakes or floods or personal injury claims, may be unavailable, available in amounts that are less than the full market value or replacement cost of investment or underlying assets or subject to a large deductible or self-insurance retention amount. In addition, there can be no assurance that certain types of risks that are currently insurable will continue to be insurable on an economically feasible basis. Should an uninsured loss or a loss in excess of insured limits occur or be subject to deductibles or self-insurance retention, we could sustain financial loss or lose capital invested in the affected property as well as anticipated future income from that property. Furthermore, we could be liable to repair damage or meet liabilities caused by risks that are uninsured or subject to deductibles. We may also be liable for any debt or other financial obligations related to affected property.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Difficulties with appraisal valuations in relation to the proposed sales price of our homes could force us to reduce the price of our homes for sale.</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Each of our home sales may require an appraisal of the home value before closing. These appraisals are professional judgments of the market value of the property and are based on a variety of market factors. If our internal valuations of the market and pricing do not line up with the appraisal valuations and appraisals are not at or near the agreed upon sales price, we may be forced to reduce the sales price of the home to complete the sale. These appraisal issues could have a material adverse effect on our business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health and safety incident relating to our business could be costly in terms of potential liabilities and reputational damage.</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Building sites are inherently dangerous, and operating in the homebuilding and land development industry poses certain inherent health and safety risks. Due to health and safety regulatory requirements and the number of projects we work on, health and safety performance is critical to the success of all areas of our business.</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Any failure in health and safety performance may result in penalties for non-compliance with relevant regulatory requirements or litigation, and a failure that results in a major or significant health and safety incident is likely to be costly in terms of potential liabilities incurred as a result. Such a failure could generate significant negative publicity and have a corresponding impact on our reputation and our relationships with relevant regulatory agencies, governmental authorities and local communities, which in turn could have a material adverse effect on our business, prospects, liquidity, financial condition and results of operations.</w:t>
      </w:r>
    </w:p>
    <w:p>
      <w:pPr>
        <w:spacing w:after="0" w:line="13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Because real estate investments are relatively illiquid, our ability to promptly sell one or more properties for reasonable prices in response to changing economic, financial and investment conditions may be limited and we may be forced to hold non-income producing properties for extended periods of time.</w:t>
      </w:r>
    </w:p>
    <w:p>
      <w:pPr>
        <w:spacing w:after="0" w:line="7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 estate investments are relatively difficult to sell quickly. As a result, our ability to promptly sell one or more properties in response to changing economic, financial and investment conditions is limited and we may be forced to hold non-income producing assets for an extended period of time or sell homes or land at a loss either of which may require us to record impairment charges. We cannot predict whether we will be able to sell any property for the price or on the terms that we set or whether any price or other terms offered by a prospective purchaser would be acceptable to us. We also cannot predict the length of time needed to find a willing purchaser and to close the sale of a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Poor relations with the residents of our communities could negatively impact sales, which could cause our revenue or results of operations to decline.</w:t>
      </w:r>
    </w:p>
    <w:p>
      <w:pPr>
        <w:spacing w:after="0" w:line="1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Residents of communities we develop rely on us to resolve issues or disputes that may arise in connection with the operation or development of their communities. Efforts made by us to resolve these issues or disputes could be deemed unsatisfactory by the affected residents and subsequent actions by these residents could adversely affect our sales or our reputation. In addition, we could be required to make material expenditures related to the settlement of such issues or disputes or to modify our community development plans, which could adversely affect our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 failures, cyber incidents or breaches in security could adversely affect us.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rely on accounting, financial, operational, management and other information systems to conduct our operations. Our information systems are subject to damage or interruption from power outages, computer and telecommunication failures, computer viruses, security breaches, including malware and phishing, cyberattacks, natural disasters, usage errors by our employees and other related risks. Any cyber incident or attack or other disruption or failure in these information systems, or other systems or infrastructure upon which they rely, could adversely affect our ability to conduct our business and could have a material adverse effect on our business, liquidity, financial condition and results of operations. Furthermore, any failure or security breach of information systems or data could result in a violation of applicable privacy and other laws, significant legal and financial exposure, damage to our reputation, or a loss of confidence in our security measures, which could harm our business and could have a material adverse effect on our business, prospects, liquidity, financial condition and results of operations. Although we have implemented systems and processes intended to secure our information systems, there can be no assurance that our efforts to maintain the security and integrity of our information systems will be effective or that future attempted security breaches or disruptions would not be successful or damaging.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complex and evolving U.S. laws and regulations regarding privacy and data protection.</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As part of our normal business activities, we collect and store certain information, including information specific to homebuyers, customers, employees, vendors and suppliers. We may share some of this information with third parties who assist us with certain aspects of our business. The regulatory environment surrounding data privacy and protection is constantly evolving and can be subject to significant change. Laws and regulations governing data privacy and the unauthorized disclosure of confidential information, including recently-implemented California legislation, pose increasingly complex compliance challenges and potentially elevate our costs. Any failure, or perceived failure, by us to comply with applicable data protection laws could result in proceedings or actions against us by governmental entities or others, subject us to significant fines, penalties, judgments and negative publicity, require us to change our business practices, increase the costs and complexity of compliance, and adversely affect our business. As noted above, we are also subject to the possibility of cyber incidents or attacks, which themselves may result in a violation of these laws. Additionally, if we acquire a company that has violated or is not in compliance with applicable data protection laws, we may incur significant liabilities and penalties as a result.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be adversely affected by efforts to impose joint employer liability on us for labor law violations committed by our subcontractors.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homes are constructed by employees of subcontractors and other parties. We do not have the ability to control what these parties pay their employees or the rules they impose on their employees. However, various governmental agencies have taken actions to hold parties like us responsible for violations of wage and hour laws and other labor laws by subcontractors. Governmental rulings that hold us responsible for labor practices by our subcontractors could create substantial exposures for us under our subcontractor relationships, which could have a material adverse impact on our business, prospects, liquidity,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the employment agreement with our Chief Executive Officer could be costly and prevent a change in control of our company.</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employment agreement with our Chief Executive Officer, Eric Lipar, provides that if his employment with us terminates under certain circumstances, we may be required to pay him a significant amount of severance compensation, thereby making it costly to terminate his employment. Furthermore, these provisions could delay or prevent a transaction or a change in control of our company that might involve a premium paid for shares of our common stock or otherwise be in the best interests of our stockholders, which could adversely affect the market price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the market value of our land inventory decreases, our results of operations could be adversely affected by impairments and write-downs.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market value of our land and housing inventories depends on market conditions. We acquire land for expansion into new markets and for replacement of land inventory and expansion within our current markets. There is an inherent risk that the value of the land owned by us may decline after purchase. The valuation of property is inherently subjective and based on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individual characteristics of each property. We may have acquired options on or bought and developed land at a cost we will not be able to recover fully or on which we cannot build and sell homes profitably. In addition, our deposits for lots controlled under purchase, option or similar contracts may be put at risk.</w:t>
      </w:r>
    </w:p>
    <w:p>
      <w:pPr>
        <w:spacing w:after="0" w:line="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Factors such as changes in regulatory requirements and applicable laws (including in relation to building regulations, taxation and planning), political conditions, the condition of financial markets, both local and national economic conditions, the financial condition of customers, potentially adverse tax consequences, and interest and inflation rate fluctuations are subject to uncertainty. Moreover, our valuations are made on the basis of assumptions that may not prove to reflect economic or demographic reality.</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housing demand fails to meet our expectations when we acquired our inventory, our profitability may be adversely affected and we may not be able to recover our costs when we build and sell houses. We regularly review the value of our land holdings and continue to review our holdings on a periodic basis. Material write-downs and impairments in the value of our inventory may be required, and we may in the future sell land or homes at a loss, which could adversely affect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real estate values may require us to write-down the book value of our real estate assets.</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homebuilding and land development industries are subject to significant variability and fluctuations in real estate values. As a result, we may be required to write-down the book value of our real estate assets in accordance with U.S. GAAP, and some of those write-downs could be material. Any material write-downs of assets could have a material adverse effect on our business, prospects, liquidity,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Acts of war or terrorism may seriously harm our business.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Acts of war, any outbreak or escalation of hostilities between the United States and any foreign power or acts of terrorism may cause disruption to the U.S. economy, or the local economies of the markets in which we operate, cause shortages of building materials, increase costs associated with obtaining building materials, result in building code changes that could increase costs of construction, result in uninsured losses, affect job growth and consumer confidence, or cause economic changes that we cannot anticipate, all of which could reduce demand for our homes and adversely impact our business, prospects, liquidity,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future government shutdowns or slowdowns may materially adversely affect our business or financial results.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Any future government shutdowns or slowdowns may materially adversely affect our business or financial results. We can make no assurances that potential home closings affected by any such shutdown or slowdown will occur after the shutdown or slowdown has ended.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publicity could adversely affect our reputation as well as our business, financial results and stock price.</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Unfavorable media related to our industry, company, brands, marketing, personnel, operations, business performance, or prospects may affect our stock price and the performance of our business, regardless of its accuracy or inaccuracy. The speed at which negative publicity can be disseminated has increased dramatically with the capabilities of electronic communication, including social media outlets, websites, blogs, newsletters, and other digital platforms. Our success in maintaining, extending and expanding our brand image depends on our ability to adapt to this rapidly changing media environment. Adverse publicity or negative commentary from any media outlets could damage our reputation and reduce the demand for our homes, which would adversely affect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Organization and Structure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key management personnel and other experienced employees.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success depends to a significant degree upon the contributions of certain key management personnel including, but not limited to, Eric Lipar, our Chief Executive Officer and Chairman of our board of directors. Although we have entered into an employment agreement with Mr. Lipar, there is no guarantee that Mr. Lipar will remain employed by us. Our ability to retain our key management personnel or to attract suitable replacements should any members of our management team leave is dependent on the competitive nature of the employment market. The loss of services from key management personnel or a limitation in their availability could materially and adversely impact our business, prospects, liquidity, financial condition and results of operations. Further, such a loss could be negatively perceived in the capital markets. We have not obtained key man life insurance that would provide us with proceeds in the event of death or disability of any of our key management personnel.</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Experienced employees in the homebuilding, land acquisition, development, and construction industries are fundamental to our ability to generate, obtain and manage opportunities. In particular, local knowledge and relationships are critical to our ability to source attractive land acquisition opportunities. Experienced employees working in the homebuilding, development and construction industries are highly sought after. Failure to attract and retain such personnel or to ensure that their experience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knowledge is not lost when they leave the business through retirement, redundancy or otherwise may adversely affect the standards of our service and may have an adverse impact on our business, prospects, liquidity,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rules, assumptions and/or judgments could materially and adversely affect us.</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Accounting rules and interpretations for certain aspects of our financial reporting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such as asset impairments,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use leverage in executing our business strategy, which may adversely affect the return on our assets.</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expect to employ prudent levels of leverage to finance the acquisition and development of our lots and construction of our homes. Our existing indebtedness is recourse to us and we anticipate that future indebtedness will likewise be recourse. As of December 31, 2019, we had a $650.0 million revolving credit facility (the “Credit Agreement”) to finance our construction and development activities. As of December 31, 2019, we had outstanding borrowings of $399.6 million under the Credit Agreement and we could borrow an additional $228.0 million under the Credit Agreement. As of December 31, 2019, borrowings under the Credit Agreement bore interest at a rate of the London Interbank Offered Rate (“LIBOR”) plus 2.50% per annum. In addition, as of December 31, 2019, we had outstanding $300.0 million aggregate principal amount of our 6.875% Senior Notes due 2026 (the “Senior Notes”).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board of directors will consider a number of factors when evaluating our level of indebtedness and when making decisions regarding the incurrence of new indebtedness, including the purchase price of assets to be acquired with debt financing, if any, the estimated market value of our assets and the ability of particular assets, and our company as a whole, to generate cash flow to cover the expected debt service. As a means of sustaining our long-term financial health and limiting our exposure to unforeseen dislocations in the debt and financing markets, we currently expect to remain conservatively capitalized. However, our certificate of incorporation does not contain a limitation on the amount of indebtedness we may incur and our board of directors may change our target debt levels at any time without the approval of our stockholders.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Incurring substantial indebtedness could subject us to many risks that, if realized, would adversely affect us, including the risk that:</w:t>
      </w:r>
    </w:p>
    <w:p>
      <w:pPr>
        <w:spacing w:after="0" w:line="117" w:lineRule="exact"/>
        <w:rPr>
          <w:sz w:val="20"/>
          <w:szCs w:val="20"/>
          <w:color w:val="auto"/>
        </w:rPr>
      </w:pPr>
    </w:p>
    <w:p>
      <w:pPr>
        <w:ind w:left="106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may be insufficient to make required payments of principal of and interest on the debt, which is likely to result in acceleration of such indebtedness;</w:t>
      </w:r>
    </w:p>
    <w:p>
      <w:pPr>
        <w:spacing w:after="0" w:line="8"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may increase our vulnerability to adverse economic and industry conditions with no assurance that our profitability will increase with higher financing cost;</w:t>
      </w:r>
    </w:p>
    <w:p>
      <w:pPr>
        <w:spacing w:after="0" w:line="8"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dedicate a portion of our cash flow from operations to payments on our indebtedness, thereby reducing funds available for operations and capital expenditures, future investment opportunities or other purposes; and</w:t>
      </w:r>
    </w:p>
    <w:p>
      <w:pPr>
        <w:spacing w:after="0" w:line="8"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any refinancing may not be as favorable as the terms of the indebtedness being refinanced.</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If we do not have sufficient funds to repay our indebtedness at maturity, it may be necessary to refinance the indebtedness through additional debt or additional equity financings. If, at the time of any refinancing, prevailing interest rates or other factors result in higher interest rates on refinancings, increases in interest expense could adversely affect our cash flows and results of operations. If we are unable to refinance our indebtedness on acceptable terms, we may be forced to dispose of our assets on disadvantageous terms, potentially resulting in losses. To the extent we cannot meet any future debt service obligations, we will risk losing some or all of our assets that may be pledged to secure our obligations to foreclosure. Unsecured debt agreements may contain specific cross-default provisions with respect to specified other indebtedness, giving the unsecured lenders the right to declare a default if we are in default under other indebtedness in some circumstances. Defaults under the Credit Agreement and our other debt agreements, if any, could have a material adverse effect on our business, prospects, liquidity,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Access to financing sources may not be available on favorable terms, or at all, especially in light of current market conditions, which could adversely affect our ability to maximize our returns.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access to additional third-party sources of financing will depend, in part, on:</w:t>
      </w:r>
    </w:p>
    <w:p>
      <w:pPr>
        <w:spacing w:after="0" w:line="63"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63"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acquisition and/or development financing, the market’s perception of the value of the land parcels to be acquired and/or developed;</w:t>
      </w:r>
    </w:p>
    <w:p>
      <w:pPr>
        <w:spacing w:after="0" w:line="8"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debt levels;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expected future earnings;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and</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per share of our common stock.</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Since the global recession in 2008, domestic financial markets have, from time to time, experienced unusual volatility, uncertainty and a tightening of liquidity in both the high yield debt and equity capital markets. Credit spreads for major sources of capital widened significantly during the U.S. credit crisis as investors demanded a higher risk premium. Given such possible volatility and weakness in the capital and credit markets, potential lenders may be unwilling or unable to provide us with financing that is attractive to us or may increase collateral requirements or may charge us prohibitively high fees in order to obtain financing. Consequently, our ability to access the credit market in order to attract financing on reasonable terms may be adversely affected. Investment returns on our assets and our ability to make acquisitions could be adversely affected by our inability to secure additional financing on reasonable terms, if at all.</w:t>
      </w:r>
    </w:p>
    <w:p>
      <w:pPr>
        <w:spacing w:after="0" w:line="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Depending on market conditions at the relevant time, we may have to rely more heavily on additional equity financings or on less efficient forms of debt financing that require a larger portion of our cash flow from operations, thereby reducing funds available for our operations, future business opportunities and other purposes. We may not have access to such equity or debt capital on favorable terms at the desired times, or at all.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financing arrangements contain, and our future financing arrangements likely will contain, restrictive provisions.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current financing agreements contain, and the financing arrangements we enter into in the future likely will contain, provisions that limit our ability to do certain things. In particular, the Credit Agreement requires us to maintain (i) a tangible net worth of not less than approximately $486.9 million plus 75% of the net proceeds of all equity issuances plus 50% of the amount of our positive net income in any fiscal quarter after December 31, 2018, (ii) a leverage ratio of not greater than 60.0%, (iii) liquidity of at least $50.0 million and (iv) a ratio of EBITDA to interest expense for the most recent four quarters of at least 2.50 to 1.00. The Credit Agreement contains various covenants that, among other restrictions, limit the amount of our additional debt and our ability to make certain investments.</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fail to meet or satisfy any of these provisions, we would be in default under the Credit Agreement and our lenders could elect to declare outstanding amounts due and payable, terminate their commitments, require the posting of additional collateral and enforce their respective interests against existing collateral. A default also could limit significantly our financing alternatives, which could cause us to curtail our investment activities and/or dispose of assets when we otherwise would not choose to do so. In addition, future indebtedness may contain financial covenants limiting our ability to, for example, incur additional indebtedness, make certain investments, reduce liquidity below certain levels and pay dividends to our stockholders, and otherwise affect our operating policies. If we default on one or more of our debt agreements, it could have a material adverse effect on our business, prospects, liquidity, financial condition and results of operations.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method of determining LIBOR, or the replacement of LIBOR with an alternative reference rate, may adversely affect interest expense related to outstanding debt.</w:t>
      </w:r>
    </w:p>
    <w:p>
      <w:pPr>
        <w:spacing w:after="0" w:line="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Borrowings under the Credit Agreement bear interest at LIBOR plus an applicable margin. On July 27, 2017, the Financial Conduct Authority in the United Kingdom, which regulates LIBOR, announced that it intends to phase out LIBOR as a benchmark by the end of 2021. It is unclear whether new methods of calculating LIBOR will be established such that it continues to exist after 2021. The Credit Agreement, which, at the present time, has a term that extends beyond 2021, provides for a mechanism to amend the Credit Agreement to reflect the establishment of an alternate rate of interest upon the occurrence of certain events related to the phase-out of any applicable interest rate. However, we have not yet pursued any technical amendment or other contractual alternative to address this matter and are currently evaluating the potential impact of the eventual replacement of the LIBOR interest rate on the Credit Agreement. In addition, the overall financial markets may be disrupted as a result of the phase-out or replacement of LIBOR. Uncertainty as to the nature of such potential phase-out and alternative reference rates or disruption in the financial market could have a material adverse effect on our financial condition, cash flows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on debt we incur may limit our cash available to fund our growth strategies.</w:t>
      </w:r>
    </w:p>
    <w:p>
      <w:pPr>
        <w:spacing w:after="0" w:line="12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As of December 31, 2019, we had total outstanding borrowings of $399.6 million under the Credit Agreement, and we could borrow an additional $228.0 million under the Credit Agreement. As of December 31, 2019, borrowings under the Credit Agreement bore interest at a rate of LIBOR plus 2.50% per annum. In addition, as of December 31, 2019, we had outstanding $300.0 million aggregate principal amount of the Senior Notes, which bear interest at a fixed rate of 6.875%. If our operations do not generate sufficient cash from operations at levels currently anticipated, we may seek additional capital in the form of debt financing. Our current indebtedness includes, and any additional indebtedness we subsequently incur may have, a floating rate of interest. Higher interest rates could increase debt service requirements on our current floating rate indebtedness and on any floating rate indebtedness we subsequently incur, and could reduce funds available for operations, future business opportunities or other purposes. If we need to repay existing indebtedness during periods of rising interest rates, we could be required to refinance our then-existing indebtedness on unfavorable terms or liquidate one or more of our assets to repay such indebtedness at times which may not permit realization of the maximum return on such assets and could result in a loss. The occurrence of either such event or both could materially and adversely affect our cash flows and results of operations.</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holding company, and we are accordingly dependent upon distributions from our subsidiaries to service our debt and pay dividends, if any, taxes and other expenses.</w:t>
      </w:r>
    </w:p>
    <w:p>
      <w:pPr>
        <w:spacing w:after="0" w:line="5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a holding company and have no material assets other than our ownership of membership interests or limited partnership interests in our subsidiaries. We have no independent means of generating revenue. We intend to cause our subsidiaries to make distributions to their members in an amount sufficient to cover all applicable taxes payable and dividends, if any, declared by us. Our ability to service our debt depends on the results of operations of our subsidiaries and upon the ability of such subsidiaries to provide us with cash, whether in the form of dividends, loans or other distributions, to pay amounts due on our obligations. Future financing arrangements may contain negative covenants, limiting the ability of our subsidiaries to declare or pay dividends or make distributions. Our subsidiaries are separate and distinct legal entities; to the extent that we need funds, and our subsidiaries are restricted from making such dividends or distributions under applicable law or regulations, or are otherwise unable to provide such funds (for example, due to restrictions in future financing arrangements that limit the ability of our operating subsidiaries to distribute funds), our liquidity and financial condition could be materially harmed.</w:t>
      </w:r>
    </w:p>
    <w:p>
      <w:pPr>
        <w:spacing w:after="0" w:line="13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If we fail to implement and maintain an effective system of internal controls, we may not be able to accurately determine our financial results or prevent fraud. As a result, investors could lose confidence in our financial results, which could materially and adversely affect us.</w:t>
      </w:r>
    </w:p>
    <w:p>
      <w:pPr>
        <w:spacing w:after="0" w:line="3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Effective internal controls are necessary for us to provide reliable financial reports and effectively prevent fraud. We may in the future discover areas of our internal controls that need improvement. We cannot be certain that we will be successful in maintaining adequate internal control over our financial reporting and financial processes. Furthermore, as we grow our business,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 or significant deficiency and management may not be able to remediate any such material weakness or significant deficiency in a timely manner. The existence of any material weakness in our internal control over financial reporting could also result in errors in our financial statements that could require us to restate our financial statements, cause us to fail to meet our reporting obligations and cause investors to lose confidence in our reported financial information, all of which could materially and adversely affect us.</w:t>
      </w:r>
    </w:p>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change our operational policies, investment guidelines and our business and growth strategies without stockholder consent, which may subject us to different and more significant risks in the future.</w:t>
      </w:r>
    </w:p>
    <w:p>
      <w:pPr>
        <w:spacing w:after="0" w:line="5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board of directors will determine our operational policies, investment guidelines and our business and growth strategies. Our board of directors may make changes to, or approve transactions that deviate from, those policies, guidelines and strategies without a vote of, or notice to, our stockholders. This could result in us conducting operational matters, making investments or pursuing different business or growth strategies than those contemplated in this Annual Report on the Form 10-K. Under any of these circumstances, we may expose ourselves to different and more significant risks in the future, which could have a material adverse effect on our business, prospects, liquidity, financial condition and results of operations.</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joint venture investments that we make could be adversely affected by our lack of sole decision making authority, our reliance on the financial condition of our joint venture partners and disputes between us and our joint venture partners.</w:t>
      </w:r>
    </w:p>
    <w:p>
      <w:pPr>
        <w:spacing w:after="0" w:line="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co-invest in the future with third parties through partnerships, joint ventures or other entities, acquiring non-controlling interests in or sharing responsibility for managing the affairs of a land acquisition and/or a development. In this event, we would not be in a position to exercise sole decision-making authority regarding the acquisition and/or development, and our investment may be illiquid due to our lack of control. Investments in partnerships, joint ventures, or other entities may, under certain circumstances, involve risks not present were a third-party not involved, including the possibility that our joint venture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partners might become bankrupt, fail to fund their share of required capital contributions, make poor business decisions or block or delay necessary decisions. Our joint venture partners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our joint venture partners would have full control over the land acquisition or development. Disputes between us and our joint venture partners may result in litigation or arbitration that would increase our expenses and prevent our officers and/or directors from focusing their time and effort on our business. In addition, we may in certain circumstances be liable for the actions of our joint venture partners.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“will” or other similar words.</w:t>
      </w:r>
    </w:p>
    <w:p>
      <w:pPr>
        <w:spacing w:after="0" w:line="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those expressed or implied in forward-looking statements:</w:t>
      </w:r>
    </w:p>
    <w:p>
      <w:pPr>
        <w:spacing w:after="0" w:line="86" w:lineRule="exact"/>
        <w:rPr>
          <w:sz w:val="20"/>
          <w:szCs w:val="20"/>
          <w:color w:val="auto"/>
        </w:rPr>
      </w:pPr>
    </w:p>
    <w:p>
      <w:pPr>
        <w:ind w:left="1060" w:right="2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economic changes either nationally or in the markets in which we operate, including, among other things, increases in unemployment, volatility of mortgage interest rates and inflation and decreases in housing prices;</w:t>
      </w:r>
    </w:p>
    <w:p>
      <w:pPr>
        <w:spacing w:after="0" w:line="8"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slowdown in the homebuilding industry;</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and uncertainty in the credit markets and broader financial markets;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cyclical and seasonal nature of our business;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 and financial condition;</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operations;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business and investment strategy;</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operations in recently opened new markets and our ability to expand into additional new markets;</w:t>
      </w:r>
    </w:p>
    <w:p>
      <w:pPr>
        <w:spacing w:after="0" w:line="63"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extend our business model to building homes with higher price points, developing larger communities and producing and selling multi-unit products, townhouses, wholesale products, and acreage home sites;</w:t>
      </w:r>
    </w:p>
    <w:p>
      <w:pPr>
        <w:spacing w:after="0" w:line="8"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our projects successfully or within expected timeframes;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potential acquisition targets and close such acquisitions;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acquisitions with our existing operations;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land to acquire and our ability to acquire such land on favorable terms or at all;</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terms and deployment of capital and ability to meet our ongoing liquidity needs;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decisions of the Credit Agreement lender group;</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the market value of our land portfolio;</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in the terms or availability of mortgage financing or increase in the number of foreclosures in our markets;</w:t>
      </w:r>
    </w:p>
    <w:p>
      <w:pPr>
        <w:spacing w:after="0" w:line="63"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of or increased prices for labor, land, or raw materials used in land development and housing construction, including due to changes in trade policies;</w:t>
      </w:r>
    </w:p>
    <w:p>
      <w:pPr>
        <w:spacing w:after="0" w:line="8"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land development or home construction resulting from natural disasters, adverse weather conditions or other events outside our control;</w:t>
      </w:r>
    </w:p>
    <w:p>
      <w:pPr>
        <w:spacing w:after="0" w:line="8"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uninsured losses in excess of insurance limits;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availability of insurance and surety bonds;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liabilities under, or the failure or inability to comply with, governmental laws and regulations;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receipt of regulatory approvals and the opening of projects;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taxes or government fees;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publicity or poor relations with the residents of our projects;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existing and future litigation, arbitration or other claims;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qualified personnel and third-party contractors and subcontractors;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system failures, cyber incidents or breaches in security;</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our key personnel;</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leverage and future debt service obligations;</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on our business of any future government shutdown;</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inherent in our business; and</w:t>
      </w:r>
    </w:p>
    <w:p>
      <w:pPr>
        <w:spacing w:after="0" w:line="63"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factors we discuss under the section entitled “</w:t>
      </w:r>
      <w:hyperlink w:anchor="page31">
        <w:r>
          <w:rPr>
            <w:rFonts w:ascii="Arial" w:cs="Arial" w:eastAsia="Arial" w:hAnsi="Arial"/>
            <w:sz w:val="16"/>
            <w:szCs w:val="16"/>
            <w:u w:val="single" w:color="auto"/>
            <w:color w:val="0000EE"/>
          </w:rPr>
          <w:t>Management’s Discussion and Analysis of Financial Condition and Results of Operations</w:t>
        </w:r>
      </w:hyperlink>
      <w:r>
        <w:rPr>
          <w:rFonts w:ascii="Arial" w:cs="Arial" w:eastAsia="Arial" w:hAnsi="Arial"/>
          <w:sz w:val="16"/>
          <w:szCs w:val="16"/>
          <w:color w:val="auto"/>
        </w:rPr>
        <w:t>.”</w:t>
      </w:r>
    </w:p>
    <w:p>
      <w:pPr>
        <w:spacing w:after="0" w:line="14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We expressly disclaim any intent, obligation or undertaking to update or revise any forward-looking statements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Annual Report on Form 10-K.</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405"/>
        <w:spacing w:after="0" w:line="259" w:lineRule="auto"/>
        <w:rPr>
          <w:rFonts w:ascii="Arial" w:cs="Arial" w:eastAsia="Arial" w:hAnsi="Arial"/>
          <w:sz w:val="18"/>
          <w:szCs w:val="18"/>
          <w:color w:val="auto"/>
        </w:rPr>
      </w:pPr>
      <w:r>
        <w:rPr>
          <w:rFonts w:ascii="Arial" w:cs="Arial" w:eastAsia="Arial" w:hAnsi="Arial"/>
          <w:sz w:val="18"/>
          <w:szCs w:val="18"/>
          <w:color w:val="auto"/>
        </w:rPr>
        <w:t>We lease approximately 22,000 square feet in The Woodlands, Texas for our corporate headquarters; this lease expires in 2028. In addition, to adequately meet the needs of our operations, we lease offices in Arizona, Florida, Georgia, Washington, California, West Virginia, North Carolina, and Nevada. See “</w:t>
      </w:r>
      <w:hyperlink w:anchor="page4">
        <w:r>
          <w:rPr>
            <w:rFonts w:ascii="Arial" w:cs="Arial" w:eastAsia="Arial" w:hAnsi="Arial"/>
            <w:sz w:val="18"/>
            <w:szCs w:val="18"/>
            <w:u w:val="single" w:color="auto"/>
            <w:color w:val="0000EE"/>
          </w:rPr>
          <w:t>Business—Land Acquisition Policies and Development</w:t>
        </w:r>
      </w:hyperlink>
      <w:r>
        <w:rPr>
          <w:rFonts w:ascii="Arial" w:cs="Arial" w:eastAsia="Arial" w:hAnsi="Arial"/>
          <w:sz w:val="18"/>
          <w:szCs w:val="18"/>
          <w:color w:val="auto"/>
        </w:rPr>
        <w:t>” for a summary of the other property which we owned or controlled as of December 31, 2019.</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ordinary course of doing business, we are subject to claims or proceedings from time to time relating to the purchase, development, and sale of real estate and homes and other aspects of our homebuilding operations. Management believes that these claims include usual obligations incurred by real estate developers and residential homebuilders in the normal course of business. In the opinion of management, these matters will not have a material effect on our consolidated financial position, results of operations or cash flows.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Our common stock is listed on the NASDAQ Stock Market (NASDAQ) under the symbol “LGIH.” As of February 21, 2020, the closing price of our common stock on the NASDAQ was $94.12, and we had 26 stockholders of record, including Cede &amp; Co. as nominee of The Depository Trust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24, 2018, we and certain of our subsidiaries filed an automatic shelf registration statement on Form S-3 (Registration No. 333-227012), registering the offering and sale of an indeterminate amount of debt securities, guarantees of debt securities, preferred stock, common stock, warrants, depositary shares, purchase contracts and units that include any of these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intend to retain our future earnings, if any, to finance the development and expansion of our business and, therefore, do not intend to pay cash dividends on our common stock for the foreseeable future. Any future determination to pay dividends will be at the discretion of our board of directors and will depend on our financial condition, results of operations, capital requirements, restrictions contained in any of our financing arrangements and such other factors as our board of directors may deem relevant. We have not previously declared or paid any cash dividends on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chart compares the cumulative total return on our common stock with that of the Standard &amp; Poor’s 500 Companies Stock Index (the “S&amp;P 500 Index”) and the Standard &amp; Poor’s Homebuilders Select Industry Index (the “S&amp;P Homebuilders Index”). The chart assumes $100.00 was invested at the close of market on December 31, 2014 and assumes the reinvestment of any dividends. The stock price performance on the following graph is not necessarily indicative of future stock price performance.</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Cumulative Total Return among LGI Homes, Inc. Common Stock, the S&amp;P 500 Index, and the S&amp;P Homebuilders Index for the years ended December 31, 2019, 2018,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80010</wp:posOffset>
            </wp:positionV>
            <wp:extent cx="4570730" cy="285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073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12/31/2014</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12/31/2015</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12/31/2016</w:t>
            </w: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12/31/2017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12/31/2018</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12/31/2019</w:t>
            </w:r>
          </w:p>
        </w:tc>
      </w:tr>
      <w:tr>
        <w:trPr>
          <w:trHeight w:val="27"/>
        </w:trPr>
        <w:tc>
          <w:tcPr>
            <w:tcW w:w="23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LGIH</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$100.00</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$163.07</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$192.56</w:t>
            </w: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$502.88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$303.08</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$473.53</w:t>
            </w: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S&amp;P 500 Index</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$100.00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$99.27</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$108.74</w:t>
            </w:r>
          </w:p>
        </w:tc>
        <w:tc>
          <w:tcPr>
            <w:tcW w:w="12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$129.86</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$121.76</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$156.92</w:t>
            </w: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S&amp;P Homebuilders Index</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$100.00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$100.18</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$99.27</w:t>
            </w:r>
          </w:p>
        </w:tc>
        <w:tc>
          <w:tcPr>
            <w:tcW w:w="12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$129.70</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$95.25</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$133.47</w:t>
            </w:r>
          </w:p>
        </w:tc>
      </w:tr>
      <w:tr>
        <w:trPr>
          <w:trHeight w:val="459"/>
        </w:trPr>
        <w:tc>
          <w:tcPr>
            <w:tcW w:w="2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gridSpan w:val="2"/>
          </w:tcPr>
          <w:p>
            <w:pPr>
              <w:jc w:val="right"/>
              <w:ind w:right="10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21" w:lineRule="exact"/>
        <w:rPr>
          <w:sz w:val="20"/>
          <w:szCs w:val="20"/>
          <w:color w:val="auto"/>
        </w:rPr>
      </w:pPr>
    </w:p>
    <w:p>
      <w:pPr>
        <w:jc w:val="both"/>
        <w:ind w:firstLine="432"/>
        <w:spacing w:after="0" w:line="302" w:lineRule="auto"/>
        <w:rPr>
          <w:rFonts w:ascii="Arial" w:cs="Arial" w:eastAsia="Arial" w:hAnsi="Arial"/>
          <w:sz w:val="16"/>
          <w:szCs w:val="16"/>
          <w:color w:val="auto"/>
        </w:rPr>
      </w:pPr>
      <w:r>
        <w:rPr>
          <w:rFonts w:ascii="Arial" w:cs="Arial" w:eastAsia="Arial" w:hAnsi="Arial"/>
          <w:sz w:val="16"/>
          <w:szCs w:val="16"/>
          <w:color w:val="auto"/>
        </w:rPr>
        <w:t>The selected historical balance sheet and statement of operations information presented as of December 31, 2019, 2018, 2017, 2016 and 2015 and for the years then ended have been derived from our audited historical consolidated financial statements. The following table should be read together with, and is qualified in its entirety by reference to, our historical consolidated financial statements and the accompanying notes included elsewhere in this Annual Report. The table should also be read together with “</w:t>
      </w:r>
      <w:hyperlink w:anchor="page31">
        <w:r>
          <w:rPr>
            <w:rFonts w:ascii="Arial" w:cs="Arial" w:eastAsia="Arial" w:hAnsi="Arial"/>
            <w:sz w:val="16"/>
            <w:szCs w:val="16"/>
            <w:u w:val="single" w:color="auto"/>
            <w:color w:val="0000EE"/>
          </w:rPr>
          <w:t>Management’s Discussion and Analysis of Financial Condition and Results of Operations</w:t>
        </w:r>
      </w:hyperlink>
      <w:r>
        <w:rPr>
          <w:rFonts w:ascii="Arial" w:cs="Arial" w:eastAsia="Arial" w:hAnsi="Arial"/>
          <w:sz w:val="16"/>
          <w:szCs w:val="16"/>
          <w:color w:val="auto"/>
        </w:rPr>
        <w: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selected historical financial and operating data as of the dates and for the periods indicated.</w:t>
      </w:r>
    </w:p>
    <w:p>
      <w:pPr>
        <w:spacing w:after="0" w:line="275" w:lineRule="exact"/>
        <w:rPr>
          <w:sz w:val="20"/>
          <w:szCs w:val="20"/>
          <w:color w:val="auto"/>
        </w:rPr>
      </w:pPr>
    </w:p>
    <w:p>
      <w:pPr>
        <w:jc w:val="center"/>
        <w:ind w:left="39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34290</wp:posOffset>
            </wp:positionV>
            <wp:extent cx="4742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57" w:lineRule="exact"/>
        <w:rPr>
          <w:sz w:val="20"/>
          <w:szCs w:val="20"/>
          <w:color w:val="auto"/>
        </w:rPr>
      </w:pPr>
    </w:p>
    <w:p>
      <w:pPr>
        <w:ind w:left="4440"/>
        <w:spacing w:after="0"/>
        <w:tabs>
          <w:tab w:leader="none" w:pos="5940" w:val="left"/>
          <w:tab w:leader="none" w:pos="7460" w:val="left"/>
          <w:tab w:leader="none" w:pos="8980" w:val="left"/>
          <w:tab w:leader="none" w:pos="105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34290</wp:posOffset>
            </wp:positionV>
            <wp:extent cx="4742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61"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(dollars in thousands, except per share data and average home sales price)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sales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1,838,154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1,504,400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1,257,960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838,320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630,236</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1,401,675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1,124,484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937,540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616,707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463,304</w:t>
            </w: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131,561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109,460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94,957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52,998</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77,380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70,345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55,662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43,158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34,260</w:t>
            </w:r>
          </w:p>
        </w:tc>
      </w:tr>
      <w:tr>
        <w:trPr>
          <w:trHeight w:val="237"/>
        </w:trPr>
        <w:tc>
          <w:tcPr>
            <w:tcW w:w="3920" w:type="dxa"/>
            <w:vAlign w:val="bottom"/>
          </w:tcPr>
          <w:p>
            <w:pPr>
              <w:ind w:left="15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227,538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200,111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169,801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111,471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79,674</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(606)</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231,832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171,402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80,280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53,224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43,812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58,096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38,641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27,450</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178,608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155,286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113,306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75,031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52,830</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2.65</w:t>
            </w:r>
          </w:p>
        </w:tc>
      </w:t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1"/>
                <w:szCs w:val="2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Other Financial and Operating Data:</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Active communities at end of year</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Home closings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3,404</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sales price of homes closed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239,032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215,220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185,146</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1"/>
                <w:szCs w:val="21"/>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436,479</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379,916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320,420</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221,613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166,932</w:t>
            </w:r>
          </w:p>
        </w:tc>
      </w:t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Gross margin %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1"/>
                <w:szCs w:val="21"/>
                <w:color w:val="auto"/>
                <w:vertAlign w:val="superscript"/>
              </w:rPr>
              <w:t>(4)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475,033</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405,635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338,066</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232,778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175,120</w:t>
            </w:r>
          </w:p>
        </w:tc>
      </w:t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Adjusted gross margin % </w:t>
            </w:r>
            <w:r>
              <w:rPr>
                <w:rFonts w:ascii="Arial" w:cs="Arial" w:eastAsia="Arial" w:hAnsi="Arial"/>
                <w:sz w:val="21"/>
                <w:szCs w:val="21"/>
                <w:color w:val="auto"/>
                <w:vertAlign w:val="superscript"/>
              </w:rPr>
              <w:t>(3)(4)</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324"/>
        </w:trPr>
        <w:tc>
          <w:tcPr>
            <w:tcW w:w="3920" w:type="dxa"/>
            <w:vAlign w:val="bottom"/>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21"/>
                <w:szCs w:val="21"/>
                <w:color w:val="auto"/>
                <w:vertAlign w:val="superscript"/>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267,705</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224,120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189,593</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125,441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87,221</w:t>
            </w:r>
          </w:p>
        </w:tc>
      </w:tr>
      <w:tr>
        <w:trPr>
          <w:trHeight w:val="324"/>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EBITDA margin % </w:t>
            </w:r>
            <w:r>
              <w:rPr>
                <w:rFonts w:ascii="Arial" w:cs="Arial" w:eastAsia="Arial" w:hAnsi="Arial"/>
                <w:sz w:val="21"/>
                <w:szCs w:val="21"/>
                <w:color w:val="auto"/>
                <w:vertAlign w:val="superscript"/>
              </w:rPr>
              <w:t>(3)(5)</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1"/>
                <w:szCs w:val="21"/>
                <w:color w:val="auto"/>
                <w:vertAlign w:val="superscript"/>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266,735</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226,541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188,238</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123,725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88,746</w:t>
            </w:r>
          </w:p>
        </w:tc>
      </w:tr>
      <w:tr>
        <w:trPr>
          <w:trHeight w:val="270"/>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margin % </w:t>
            </w:r>
            <w:r>
              <w:rPr>
                <w:rFonts w:ascii="Arial" w:cs="Arial" w:eastAsia="Arial" w:hAnsi="Arial"/>
                <w:sz w:val="21"/>
                <w:szCs w:val="21"/>
                <w:color w:val="auto"/>
                <w:vertAlign w:val="superscript"/>
              </w:rPr>
              <w:t>(3)(5)</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486"/>
        </w:trPr>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38,345</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37,568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Real estate inventory</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1,499,624</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1,228,256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918,933</w:t>
            </w:r>
          </w:p>
        </w:tc>
        <w:tc>
          <w:tcPr>
            <w:tcW w:w="120" w:type="dxa"/>
            <w:vAlign w:val="bottom"/>
          </w:tcPr>
          <w:p>
            <w:pPr>
              <w:spacing w:after="0"/>
              <w:rPr>
                <w:sz w:val="21"/>
                <w:szCs w:val="21"/>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717,681</w:t>
            </w:r>
          </w:p>
        </w:tc>
        <w:tc>
          <w:tcPr>
            <w:tcW w:w="100" w:type="dxa"/>
            <w:vAlign w:val="bottom"/>
          </w:tcPr>
          <w:p>
            <w:pPr>
              <w:spacing w:after="0"/>
              <w:rPr>
                <w:sz w:val="21"/>
                <w:szCs w:val="21"/>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531,228</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intangibles</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12,018</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1,666,115</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1,395,473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1,079,892</w:t>
            </w:r>
          </w:p>
        </w:tc>
        <w:tc>
          <w:tcPr>
            <w:tcW w:w="120" w:type="dxa"/>
            <w:vAlign w:val="bottom"/>
          </w:tcPr>
          <w:p>
            <w:pPr>
              <w:spacing w:after="0"/>
              <w:rPr>
                <w:sz w:val="21"/>
                <w:szCs w:val="21"/>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814,514</w:t>
            </w:r>
          </w:p>
        </w:tc>
        <w:tc>
          <w:tcPr>
            <w:tcW w:w="100" w:type="dxa"/>
            <w:vAlign w:val="bottom"/>
          </w:tcPr>
          <w:p>
            <w:pPr>
              <w:spacing w:after="0"/>
              <w:rPr>
                <w:sz w:val="21"/>
                <w:szCs w:val="21"/>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618,702</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690,559</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653,734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304,561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820,922</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739,530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590,046</w:t>
            </w:r>
          </w:p>
        </w:tc>
        <w:tc>
          <w:tcPr>
            <w:tcW w:w="120" w:type="dxa"/>
            <w:vAlign w:val="bottom"/>
          </w:tcPr>
          <w:p>
            <w:pPr>
              <w:spacing w:after="0"/>
              <w:rPr>
                <w:sz w:val="21"/>
                <w:szCs w:val="21"/>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459,313</w:t>
            </w:r>
          </w:p>
        </w:tc>
        <w:tc>
          <w:tcPr>
            <w:tcW w:w="100" w:type="dxa"/>
            <w:vAlign w:val="bottom"/>
          </w:tcPr>
          <w:p>
            <w:pPr>
              <w:spacing w:after="0"/>
              <w:rPr>
                <w:sz w:val="21"/>
                <w:szCs w:val="21"/>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371,313</w:t>
            </w: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845,193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655,943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247,389</w:t>
            </w:r>
          </w:p>
        </w:tc>
      </w:tr>
      <w:tr>
        <w:trPr>
          <w:trHeight w:val="27"/>
        </w:trPr>
        <w:tc>
          <w:tcPr>
            <w:tcW w:w="3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40" w:right="20" w:hanging="316"/>
        <w:spacing w:after="0" w:line="30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Earnings per share is presented for the years ended December 31, 2019, 2018, 2017, 2016 and 2015. See </w:t>
      </w:r>
      <w:hyperlink w:anchor="page64">
        <w:r>
          <w:rPr>
            <w:rFonts w:ascii="Arial" w:cs="Arial" w:eastAsia="Arial" w:hAnsi="Arial"/>
            <w:sz w:val="16"/>
            <w:szCs w:val="16"/>
            <w:u w:val="single" w:color="auto"/>
            <w:color w:val="0000EE"/>
          </w:rPr>
          <w:t>Note 9</w:t>
        </w:r>
        <w:r>
          <w:rPr>
            <w:rFonts w:ascii="Arial" w:cs="Arial" w:eastAsia="Arial" w:hAnsi="Arial"/>
            <w:sz w:val="16"/>
            <w:szCs w:val="16"/>
            <w:u w:val="single" w:color="auto"/>
            <w:color w:val="auto"/>
          </w:rPr>
          <w:t xml:space="preserve"> </w:t>
        </w:r>
      </w:hyperlink>
      <w:r>
        <w:rPr>
          <w:rFonts w:ascii="Arial" w:cs="Arial" w:eastAsia="Arial" w:hAnsi="Arial"/>
          <w:sz w:val="18"/>
          <w:szCs w:val="18"/>
          <w:color w:val="auto"/>
        </w:rPr>
        <w:t>“</w:t>
      </w:r>
      <w:hyperlink w:anchor="page64">
        <w:r>
          <w:rPr>
            <w:rFonts w:ascii="Arial" w:cs="Arial" w:eastAsia="Arial" w:hAnsi="Arial"/>
            <w:sz w:val="16"/>
            <w:szCs w:val="16"/>
            <w:i w:val="1"/>
            <w:iCs w:val="1"/>
            <w:u w:val="single" w:color="auto"/>
            <w:color w:val="0000EE"/>
          </w:rPr>
          <w:t>Equity</w:t>
        </w:r>
      </w:hyperlink>
      <w:r>
        <w:rPr>
          <w:rFonts w:ascii="Arial" w:cs="Arial" w:eastAsia="Arial" w:hAnsi="Arial"/>
          <w:sz w:val="18"/>
          <w:szCs w:val="18"/>
          <w:color w:val="auto"/>
        </w:rPr>
        <w:t>”</w:t>
      </w:r>
      <w:r>
        <w:rPr>
          <w:rFonts w:ascii="Arial" w:cs="Arial" w:eastAsia="Arial" w:hAnsi="Arial"/>
          <w:sz w:val="16"/>
          <w:szCs w:val="16"/>
          <w:color w:val="auto"/>
        </w:rPr>
        <w:t xml:space="preserve"> to our consolidated financial statements included in </w:t>
      </w:r>
      <w:hyperlink w:anchor="page48">
        <w:r>
          <w:rPr>
            <w:rFonts w:ascii="Arial" w:cs="Arial" w:eastAsia="Arial" w:hAnsi="Arial"/>
            <w:sz w:val="16"/>
            <w:szCs w:val="16"/>
            <w:u w:val="single" w:color="auto"/>
            <w:color w:val="0000EE"/>
          </w:rPr>
          <w:t>Part II, Item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of this Form 10-K for calculation of earnings per share</w:t>
      </w:r>
      <w:r>
        <w:rPr>
          <w:rFonts w:ascii="Arial" w:cs="Arial" w:eastAsia="Arial" w:hAnsi="Arial"/>
          <w:sz w:val="16"/>
          <w:szCs w:val="16"/>
          <w:i w:val="1"/>
          <w:iCs w:val="1"/>
          <w:color w:val="auto"/>
        </w:rPr>
        <w:t>.</w:t>
      </w:r>
    </w:p>
    <w:p>
      <w:pPr>
        <w:ind w:left="540" w:hanging="316"/>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Gross margin is home sales revenues less cost of sales.</w:t>
      </w:r>
    </w:p>
    <w:p>
      <w:pPr>
        <w:spacing w:after="0" w:line="59" w:lineRule="exact"/>
        <w:rPr>
          <w:rFonts w:ascii="Arial" w:cs="Arial" w:eastAsia="Arial" w:hAnsi="Arial"/>
          <w:sz w:val="16"/>
          <w:szCs w:val="16"/>
          <w:color w:val="auto"/>
        </w:rPr>
      </w:pPr>
    </w:p>
    <w:p>
      <w:pPr>
        <w:ind w:left="540" w:hanging="316"/>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Calculated as a percentage of home sales revenues.</w:t>
      </w:r>
    </w:p>
    <w:p>
      <w:pPr>
        <w:spacing w:after="0" w:line="59" w:lineRule="exact"/>
        <w:rPr>
          <w:rFonts w:ascii="Arial" w:cs="Arial" w:eastAsia="Arial" w:hAnsi="Arial"/>
          <w:sz w:val="16"/>
          <w:szCs w:val="16"/>
          <w:color w:val="auto"/>
        </w:rPr>
      </w:pPr>
    </w:p>
    <w:p>
      <w:pPr>
        <w:jc w:val="both"/>
        <w:ind w:left="540" w:hanging="316"/>
        <w:spacing w:after="0" w:line="268" w:lineRule="auto"/>
        <w:tabs>
          <w:tab w:leader="none" w:pos="540" w:val="left"/>
        </w:tabs>
        <w:numPr>
          <w:ilvl w:val="0"/>
          <w:numId w:val="7"/>
        </w:numPr>
        <w:rPr>
          <w:rFonts w:ascii="Arial" w:cs="Arial" w:eastAsia="Arial" w:hAnsi="Arial"/>
          <w:sz w:val="15"/>
          <w:szCs w:val="15"/>
          <w:color w:val="0000EE"/>
        </w:rPr>
      </w:pPr>
      <w:r>
        <w:rPr>
          <w:rFonts w:ascii="Arial" w:cs="Arial" w:eastAsia="Arial" w:hAnsi="Arial"/>
          <w:sz w:val="15"/>
          <w:szCs w:val="15"/>
          <w:color w:val="auto"/>
        </w:rPr>
        <w:t xml:space="preserve">Adjusted gross margin is a non-GAAP financial measure used by management as a supplemental measure in evaluating operating performance. We define adjusted gross margin as gross margin less capitalized interest and adjustments resulting from the application of purchase accounting included in the cost of sales. Our management believes this information is useful because it isolates the impact that capitalized interest and purchase accounting adjustments have on gross margin. However, because adjusted gross margin information excludes capitalized interest and purchase accounting adjustments, which have real economic effects and could impact our results, the utility of adjusted gross margin information as a measure of our operating performance may be limited. In addition, other companies may not calculate adjusted gross margin information in the same manner that we do. Accordingly, adjusted gross margin information should be considered only as a supplement </w:t>
      </w:r>
      <w:hyperlink w:anchor="page38">
        <w:r>
          <w:rPr>
            <w:rFonts w:ascii="Arial" w:cs="Arial" w:eastAsia="Arial" w:hAnsi="Arial"/>
            <w:sz w:val="15"/>
            <w:szCs w:val="15"/>
            <w:color w:val="auto"/>
          </w:rPr>
          <w:t>to gross margin information as a measure of our performance. Please see “</w:t>
        </w:r>
        <w:r>
          <w:rPr>
            <w:rFonts w:ascii="Arial" w:cs="Arial" w:eastAsia="Arial" w:hAnsi="Arial"/>
            <w:sz w:val="15"/>
            <w:szCs w:val="15"/>
            <w:u w:val="single" w:color="auto"/>
            <w:color w:val="0000EE"/>
          </w:rPr>
          <w:t>Management’s Discussion and Analysis of Financial Condition and Results of Operations—</w:t>
        </w:r>
      </w:hyperlink>
      <w:r>
        <w:rPr>
          <w:rFonts w:ascii="Arial" w:cs="Arial" w:eastAsia="Arial" w:hAnsi="Arial"/>
          <w:sz w:val="15"/>
          <w:szCs w:val="15"/>
          <w:color w:val="auto"/>
        </w:rPr>
        <w:t xml:space="preserve"> </w:t>
      </w:r>
      <w:hyperlink w:anchor="page38">
        <w:r>
          <w:rPr>
            <w:rFonts w:ascii="Arial" w:cs="Arial" w:eastAsia="Arial" w:hAnsi="Arial"/>
            <w:sz w:val="15"/>
            <w:szCs w:val="15"/>
            <w:u w:val="single" w:color="auto"/>
            <w:color w:val="0000EE"/>
          </w:rPr>
          <w:t>Non-GAAP Measures</w:t>
        </w:r>
        <w:r>
          <w:rPr>
            <w:rFonts w:ascii="Arial" w:cs="Arial" w:eastAsia="Arial" w:hAnsi="Arial"/>
            <w:sz w:val="15"/>
            <w:szCs w:val="15"/>
            <w:color w:val="000000"/>
          </w:rPr>
          <w:t>” for a reconciliation of adjusted gross margin to gross margin, which is the GAAP financial measure that our management believes to be most</w:t>
        </w:r>
      </w:hyperlink>
      <w:r>
        <w:rPr>
          <w:rFonts w:ascii="Arial" w:cs="Arial" w:eastAsia="Arial" w:hAnsi="Arial"/>
          <w:sz w:val="15"/>
          <w:szCs w:val="15"/>
          <w:color w:val="0000EE"/>
        </w:rPr>
        <w:t xml:space="preserve"> </w:t>
      </w:r>
      <w:r>
        <w:rPr>
          <w:rFonts w:ascii="Arial" w:cs="Arial" w:eastAsia="Arial" w:hAnsi="Arial"/>
          <w:sz w:val="15"/>
          <w:szCs w:val="15"/>
          <w:color w:val="000000"/>
        </w:rPr>
        <w:t>directly comparable.</w:t>
      </w:r>
    </w:p>
    <w:p>
      <w:pPr>
        <w:spacing w:after="0" w:line="22" w:lineRule="exact"/>
        <w:rPr>
          <w:rFonts w:ascii="Arial" w:cs="Arial" w:eastAsia="Arial" w:hAnsi="Arial"/>
          <w:sz w:val="15"/>
          <w:szCs w:val="15"/>
          <w:color w:val="0000EE"/>
        </w:rPr>
      </w:pPr>
    </w:p>
    <w:p>
      <w:pPr>
        <w:jc w:val="both"/>
        <w:ind w:left="540" w:hanging="316"/>
        <w:spacing w:after="0" w:line="266"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EBITDA and Adjusted EBITDA are non-GAAP financial measures used by management as supplemental measures in evaluating operating performance. We define EBITDA as net income before (i) interest expense, (ii) income taxes, (iii) depreciation and amortization and (iv) capitalized interest charged to the cost of sales. We define adjusted EBITDA as net income before (i) interest expense, (ii) income taxes, (iii) depreciation and amortization, (iv) capitalized interest charged to the cost of sales, (v) loss on extinguishment of debt, (vi) other income, net and (vii) adjustments resulting from the application of purchase accounting. Our management believes that the presentation of EBITDA and adjusted EBITDA provides useful information to investors regarding our 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 levels of depreciation or amortization and items considered to be unusual or non-recurring. Accordingly, our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 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a substitute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Please see “</w:t>
      </w:r>
      <w:hyperlink w:anchor="page38">
        <w:r>
          <w:rPr>
            <w:rFonts w:ascii="Arial" w:cs="Arial" w:eastAsia="Arial" w:hAnsi="Arial"/>
            <w:sz w:val="15"/>
            <w:szCs w:val="15"/>
            <w:u w:val="single" w:color="auto"/>
            <w:color w:val="0000EE"/>
          </w:rPr>
          <w:t>Management’s Discussion and Analysis of Financial Condition and Results of Operations—Non-GAAP Measures</w:t>
        </w:r>
      </w:hyperlink>
      <w:r>
        <w:rPr>
          <w:rFonts w:ascii="Arial" w:cs="Arial" w:eastAsia="Arial" w:hAnsi="Arial"/>
          <w:sz w:val="15"/>
          <w:szCs w:val="15"/>
          <w:color w:val="auto"/>
        </w:rPr>
        <w:t>” for reconciliations of EBITDA and adjusted EBITDA to net income, which is the GAAP financial measure that our management believes to be most directly comparable.</w:t>
      </w:r>
    </w:p>
    <w:p>
      <w:pPr>
        <w:spacing w:after="0" w:line="200" w:lineRule="exact"/>
        <w:rPr>
          <w:rFonts w:ascii="Arial" w:cs="Arial" w:eastAsia="Arial" w:hAnsi="Arial"/>
          <w:sz w:val="15"/>
          <w:szCs w:val="15"/>
          <w:color w:val="auto"/>
        </w:rPr>
      </w:pPr>
    </w:p>
    <w:p>
      <w:pPr>
        <w:spacing w:after="0" w:line="221"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For purposes of this Management’s Discussion and Analysis of Financial Condition and Results of Operation, references to “we,” “our,” “us” or similar terms when used in a historical context refer to LGI Homes, Inc.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Results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Key financial results as of and for the year ended December 31, 2019, as compared to the year ended December 31, 2018, were as follows:</w:t>
      </w:r>
    </w:p>
    <w:p>
      <w:pPr>
        <w:spacing w:after="0" w:line="129"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Home sales revenues increased 22.2% to $1.8 billion from $1.5 billion.</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Homes closed increased 18.1% to 7,690 homes from 6,512 homes.</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sales price of our homes increased $8,012 to $239,032 from $231,020.</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margin as a percentage of home sales revenues decreased to 23.7% from 25.3%.</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gross margin (non-GAAP) as a percentage of home sales revenues decreased to 25.8% from 27.0%.</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before income taxes increased 16.4% to $231.8 million from $199.1 million.</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increased 15.0% to $178.6 million from $155.3 million.</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(non-GAAP) as a percentage of home sales revenues decreased to 14.6% from 14.9%.</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(non-GAAP) as a percentage of home sales revenues decreased to 14.5% from 15.1%.</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 communities at the end of 2019 increased to 106 from 88.</w:t>
      </w:r>
    </w:p>
    <w:p>
      <w:pPr>
        <w:spacing w:after="0" w:line="117"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owned and controlled lots decreased 6.6% to 48,062 lots at December 31, 2019 from 51,442 lots at December 31, 2018.</w:t>
      </w:r>
    </w:p>
    <w:p>
      <w:pPr>
        <w:spacing w:after="0" w:line="117" w:lineRule="exact"/>
        <w:rPr>
          <w:sz w:val="20"/>
          <w:szCs w:val="20"/>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For reconciliations of the non-GAAP financial measures of adjusted gross margin, EBITDA and adjusted EBITDA to the most directly comparable GAAP financial measures, please see “—</w:t>
      </w:r>
      <w:hyperlink w:anchor="page38">
        <w:r>
          <w:rPr>
            <w:rFonts w:ascii="Arial" w:cs="Arial" w:eastAsia="Arial" w:hAnsi="Arial"/>
            <w:sz w:val="18"/>
            <w:szCs w:val="18"/>
            <w:u w:val="single" w:color="auto"/>
            <w:color w:val="0000EE"/>
          </w:rPr>
          <w:t>Non-GAAP Measures</w:t>
        </w:r>
      </w:hyperlink>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November 2019, our 4.25% Convertible Notes due 2019 (the “Convertible Notes”) matured, which resulted in the principal payment of $70.0 million and the issuance of 2,381,751 shares of our common stock for the premium associated with the Convertible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years ended December 31, 2019, 2018 and 2017.</w:t>
      </w:r>
    </w:p>
    <w:p>
      <w:pPr>
        <w:spacing w:after="0" w:line="16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34290</wp:posOffset>
            </wp:positionV>
            <wp:extent cx="3713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57" w:lineRule="exact"/>
        <w:rPr>
          <w:sz w:val="20"/>
          <w:szCs w:val="20"/>
          <w:color w:val="auto"/>
        </w:rPr>
      </w:pPr>
    </w:p>
    <w:p>
      <w:pPr>
        <w:ind w:left="6340"/>
        <w:spacing w:after="0"/>
        <w:tabs>
          <w:tab w:leader="none" w:pos="8300" w:val="left"/>
          <w:tab w:leader="none" w:pos="102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34290</wp:posOffset>
            </wp:positionV>
            <wp:extent cx="3713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124" w:lineRule="exact"/>
        <w:rPr>
          <w:sz w:val="20"/>
          <w:szCs w:val="20"/>
          <w:color w:val="auto"/>
        </w:rPr>
      </w:pPr>
    </w:p>
    <w:p>
      <w:pPr>
        <w:ind w:left="6520"/>
        <w:spacing w:after="0"/>
        <w:rPr>
          <w:sz w:val="20"/>
          <w:szCs w:val="20"/>
          <w:color w:val="auto"/>
        </w:rPr>
      </w:pPr>
      <w:r>
        <w:rPr>
          <w:rFonts w:ascii="Arial" w:cs="Arial" w:eastAsia="Arial" w:hAnsi="Arial"/>
          <w:sz w:val="13"/>
          <w:szCs w:val="13"/>
          <w:b w:val="1"/>
          <w:bCs w:val="1"/>
          <w:color w:val="auto"/>
        </w:rPr>
        <w:t>(dollars in thousands, except per share data and average home sales price)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sales revenues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1,838,154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1,504,400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1,257,960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Expenses:</w:t>
            </w:r>
          </w:p>
        </w:tc>
        <w:tc>
          <w:tcPr>
            <w:tcW w:w="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1,401,675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1,124,484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937,540</w:t>
            </w:r>
          </w:p>
        </w:tc>
      </w:tr>
      <w:tr>
        <w:trPr>
          <w:trHeight w:val="243"/>
        </w:trPr>
        <w:tc>
          <w:tcPr>
            <w:tcW w:w="5580" w:type="dxa"/>
            <w:vAlign w:val="bottom"/>
          </w:tcPr>
          <w:p>
            <w:pPr>
              <w:ind w:left="200"/>
              <w:spacing w:after="0"/>
              <w:rPr>
                <w:sz w:val="20"/>
                <w:szCs w:val="20"/>
                <w:color w:val="auto"/>
              </w:rPr>
            </w:pPr>
            <w:r>
              <w:rPr>
                <w:rFonts w:ascii="Arial" w:cs="Arial" w:eastAsia="Arial" w:hAnsi="Arial"/>
                <w:sz w:val="18"/>
                <w:szCs w:val="18"/>
                <w:color w:val="auto"/>
              </w:rPr>
              <w:t>Selling expenses</w:t>
            </w:r>
          </w:p>
        </w:tc>
        <w:tc>
          <w:tcPr>
            <w:tcW w:w="5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131,561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109,460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94,957</w:t>
            </w: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77,380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70,345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55,662</w:t>
            </w:r>
          </w:p>
        </w:tc>
      </w:tr>
      <w:tr>
        <w:trPr>
          <w:trHeight w:val="237"/>
        </w:trPr>
        <w:tc>
          <w:tcPr>
            <w:tcW w:w="5580" w:type="dxa"/>
            <w:vAlign w:val="bottom"/>
          </w:tcPr>
          <w:p>
            <w:pPr>
              <w:ind w:left="960"/>
              <w:spacing w:after="0"/>
              <w:rPr>
                <w:sz w:val="20"/>
                <w:szCs w:val="20"/>
                <w:color w:val="auto"/>
              </w:rPr>
            </w:pPr>
            <w:r>
              <w:rPr>
                <w:rFonts w:ascii="Arial" w:cs="Arial" w:eastAsia="Arial" w:hAnsi="Arial"/>
                <w:sz w:val="18"/>
                <w:szCs w:val="18"/>
                <w:color w:val="auto"/>
              </w:rPr>
              <w:t>Operating income</w:t>
            </w:r>
          </w:p>
        </w:tc>
        <w:tc>
          <w:tcPr>
            <w:tcW w:w="5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227,538</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200,111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169,801</w:t>
            </w: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5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5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(1,601)</w:t>
            </w:r>
          </w:p>
        </w:tc>
      </w:tr>
      <w:tr>
        <w:trPr>
          <w:trHeight w:val="27"/>
        </w:trPr>
        <w:tc>
          <w:tcPr>
            <w:tcW w:w="5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Net income before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231,832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199,098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171,402</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5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53,224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43,812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58,096</w:t>
            </w:r>
          </w:p>
        </w:tc>
      </w:tr>
      <w:tr>
        <w:trPr>
          <w:trHeight w:val="27"/>
        </w:trPr>
        <w:tc>
          <w:tcPr>
            <w:tcW w:w="5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178,608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155,286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113,306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8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5.24</w:t>
            </w: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Financial and Operating Data:</w:t>
            </w:r>
          </w:p>
        </w:tc>
        <w:tc>
          <w:tcPr>
            <w:tcW w:w="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Active communities at end of year</w:t>
            </w:r>
          </w:p>
        </w:tc>
        <w:tc>
          <w:tcPr>
            <w:tcW w:w="5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Home closings</w:t>
            </w:r>
          </w:p>
        </w:tc>
        <w:tc>
          <w:tcPr>
            <w:tcW w:w="5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5,845</w:t>
            </w: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sales price of homes closed</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239,032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231,020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215,220</w:t>
            </w:r>
          </w:p>
        </w:tc>
      </w:tr>
      <w:tr>
        <w:trPr>
          <w:trHeight w:val="270"/>
        </w:trPr>
        <w:tc>
          <w:tcPr>
            <w:tcW w:w="5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436,479</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379,916</w:t>
            </w:r>
          </w:p>
        </w:tc>
        <w:tc>
          <w:tcPr>
            <w:tcW w:w="10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320,420</w:t>
            </w: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margin % </w:t>
            </w:r>
            <w:r>
              <w:rPr>
                <w:rFonts w:ascii="Arial" w:cs="Arial" w:eastAsia="Arial" w:hAnsi="Arial"/>
                <w:sz w:val="25"/>
                <w:szCs w:val="25"/>
                <w:color w:val="auto"/>
                <w:vertAlign w:val="superscript"/>
              </w:rPr>
              <w:t>(2)</w:t>
            </w:r>
          </w:p>
        </w:tc>
        <w:tc>
          <w:tcPr>
            <w:tcW w:w="5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70"/>
        </w:trPr>
        <w:tc>
          <w:tcPr>
            <w:tcW w:w="5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5"/>
                <w:szCs w:val="25"/>
                <w:color w:val="auto"/>
                <w:vertAlign w:val="superscript"/>
              </w:rPr>
              <w:t>(3)</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475,033</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405,635</w:t>
            </w:r>
          </w:p>
        </w:tc>
        <w:tc>
          <w:tcPr>
            <w:tcW w:w="10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338,066</w:t>
            </w: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gross margin % </w:t>
            </w:r>
            <w:r>
              <w:rPr>
                <w:rFonts w:ascii="Arial" w:cs="Arial" w:eastAsia="Arial" w:hAnsi="Arial"/>
                <w:sz w:val="25"/>
                <w:szCs w:val="25"/>
                <w:color w:val="auto"/>
                <w:vertAlign w:val="superscript"/>
              </w:rPr>
              <w:t>(2)(3)</w:t>
            </w:r>
          </w:p>
        </w:tc>
        <w:tc>
          <w:tcPr>
            <w:tcW w:w="5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70"/>
        </w:trPr>
        <w:tc>
          <w:tcPr>
            <w:tcW w:w="5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267,705</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224,120</w:t>
            </w:r>
          </w:p>
        </w:tc>
        <w:tc>
          <w:tcPr>
            <w:tcW w:w="10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189,593</w:t>
            </w: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EBITDA margin % </w:t>
            </w:r>
            <w:r>
              <w:rPr>
                <w:rFonts w:ascii="Arial" w:cs="Arial" w:eastAsia="Arial" w:hAnsi="Arial"/>
                <w:sz w:val="25"/>
                <w:szCs w:val="25"/>
                <w:color w:val="auto"/>
                <w:vertAlign w:val="superscript"/>
              </w:rPr>
              <w:t>(2)(4)</w:t>
            </w:r>
          </w:p>
        </w:tc>
        <w:tc>
          <w:tcPr>
            <w:tcW w:w="5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5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266,735</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226,541</w:t>
            </w:r>
          </w:p>
        </w:tc>
        <w:tc>
          <w:tcPr>
            <w:tcW w:w="10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188,238</w:t>
            </w: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EBITDA margin % </w:t>
            </w:r>
            <w:r>
              <w:rPr>
                <w:rFonts w:ascii="Arial" w:cs="Arial" w:eastAsia="Arial" w:hAnsi="Arial"/>
                <w:sz w:val="25"/>
                <w:szCs w:val="25"/>
                <w:color w:val="auto"/>
                <w:vertAlign w:val="superscript"/>
              </w:rPr>
              <w:t>(2)(4)</w:t>
            </w:r>
          </w:p>
        </w:tc>
        <w:tc>
          <w:tcPr>
            <w:tcW w:w="5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98"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Gross margin is home sales revenues less cost of sales.</w:t>
      </w:r>
    </w:p>
    <w:p>
      <w:pPr>
        <w:spacing w:after="0" w:line="59"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a percentage of home sales revenues.</w:t>
      </w:r>
    </w:p>
    <w:p>
      <w:pPr>
        <w:spacing w:after="0" w:line="59" w:lineRule="exact"/>
        <w:rPr>
          <w:rFonts w:ascii="Arial" w:cs="Arial" w:eastAsia="Arial" w:hAnsi="Arial"/>
          <w:sz w:val="16"/>
          <w:szCs w:val="16"/>
          <w:color w:val="auto"/>
        </w:rPr>
      </w:pPr>
    </w:p>
    <w:p>
      <w:pPr>
        <w:jc w:val="both"/>
        <w:ind w:left="540" w:hanging="316"/>
        <w:spacing w:after="0" w:line="269"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Adjusted gross margin is a non-GAAP financial measure used by management as a supplemental measure in evaluating operating performance. We define adjusted gross margin as gross margin less capitalized interest and adjustments resulting from the application of purchase accounting included in the cost of sales. Our management believes this information is useful because it isolates the impact that capitalized interest and purchase accounting adjustments have on gross margin. However, because adjusted gross margin information excludes capitalized interest and purchase accounting adjustments, which have real economic effects and could impact our results, the utility of adjusted gross margin information as a measure of our operating performance may be limited. In addition, other companies may not calculate adjusted gross margin information in the same manner that we do. Accordingly, adjusted gross margin information should be considered only as a supplement to gross margin information as a measure of our performance. Please see “</w:t>
      </w:r>
      <w:hyperlink w:anchor="page38">
        <w:r>
          <w:rPr>
            <w:rFonts w:ascii="Arial" w:cs="Arial" w:eastAsia="Arial" w:hAnsi="Arial"/>
            <w:sz w:val="15"/>
            <w:szCs w:val="15"/>
            <w:u w:val="single" w:color="auto"/>
            <w:color w:val="0000EE"/>
          </w:rPr>
          <w:t>—Non-GAAP Measures</w:t>
        </w:r>
      </w:hyperlink>
      <w:r>
        <w:rPr>
          <w:rFonts w:ascii="Arial" w:cs="Arial" w:eastAsia="Arial" w:hAnsi="Arial"/>
          <w:sz w:val="15"/>
          <w:szCs w:val="15"/>
          <w:color w:val="auto"/>
        </w:rPr>
        <w:t>” for a reconciliation of adjusted gross margin to gross margin, which is the GAAP financial measure that our management believes to be most directly comparable.</w:t>
      </w:r>
    </w:p>
    <w:p>
      <w:pPr>
        <w:spacing w:after="0" w:line="20" w:lineRule="exact"/>
        <w:rPr>
          <w:rFonts w:ascii="Arial" w:cs="Arial" w:eastAsia="Arial" w:hAnsi="Arial"/>
          <w:sz w:val="15"/>
          <w:szCs w:val="15"/>
          <w:color w:val="auto"/>
        </w:rPr>
      </w:pPr>
    </w:p>
    <w:p>
      <w:pPr>
        <w:jc w:val="both"/>
        <w:ind w:left="540" w:hanging="316"/>
        <w:spacing w:after="0" w:line="270"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EBITDA and adjusted EBITDA are non-GAAP financial measures used by management as supplemental measures in evaluating operating performance. We define EBITDA as net income before (i) interest expense, (ii) income taxes, (iii) depreciation and amortization and (iv) capitalized interest charged to the cost of sales. We define adjusted EBITDA as net income before (i) interest expense, (ii) income taxes, (iii) depreciation and amortization, (iv) capitalized interest charged to the cost of sales, (v) loss on extinguishment of debt, (vi) other income, net and (vii) adjustments resulting from the application of purchase accounting. Our management believes that the presentation of EBITDA and adjusted EBITDA provides useful information to investors regarding our 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540"/>
        <w:spacing w:after="0" w:line="306" w:lineRule="auto"/>
        <w:rPr>
          <w:rFonts w:ascii="Arial" w:cs="Arial" w:eastAsia="Arial" w:hAnsi="Arial"/>
          <w:sz w:val="15"/>
          <w:szCs w:val="15"/>
          <w:color w:val="auto"/>
        </w:rPr>
      </w:pPr>
      <w:r>
        <w:rPr>
          <w:rFonts w:ascii="Arial" w:cs="Arial" w:eastAsia="Arial" w:hAnsi="Arial"/>
          <w:sz w:val="15"/>
          <w:szCs w:val="15"/>
          <w:color w:val="auto"/>
        </w:rPr>
        <w:t>levels of depreciation or amortization and items considered to be unusual or non-recurring. Accordingly, our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 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a substitute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Please see “</w:t>
      </w:r>
      <w:hyperlink w:anchor="page38">
        <w:r>
          <w:rPr>
            <w:rFonts w:ascii="Arial" w:cs="Arial" w:eastAsia="Arial" w:hAnsi="Arial"/>
            <w:sz w:val="15"/>
            <w:szCs w:val="15"/>
            <w:u w:val="single" w:color="auto"/>
            <w:color w:val="0000EE"/>
          </w:rPr>
          <w:t>—Non-GAAP Measures</w:t>
        </w:r>
      </w:hyperlink>
      <w:r>
        <w:rPr>
          <w:rFonts w:ascii="Arial" w:cs="Arial" w:eastAsia="Arial" w:hAnsi="Arial"/>
          <w:sz w:val="15"/>
          <w:szCs w:val="15"/>
          <w:color w:val="auto"/>
        </w:rPr>
        <w:t>” for reconciliations of EBITDA and adjusted EBITDA to net income, which is the GAAP financial measure that our management believes to be most directly comparable.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 xml:space="preserve">Homes Sales. </w:t>
      </w:r>
      <w:r>
        <w:rPr>
          <w:rFonts w:ascii="Arial" w:cs="Arial" w:eastAsia="Arial" w:hAnsi="Arial"/>
          <w:sz w:val="17"/>
          <w:szCs w:val="17"/>
          <w:color w:val="auto"/>
        </w:rPr>
        <w:t>Our home sales revenues, home closings, average sales price (ASP), average community count, average monthly absorption rate and closing</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 count by reportable segment for the years ended December 31, 2019 and 2018 were as follows (Revenues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10"/>
          </w:tcPr>
          <w:p>
            <w:pPr>
              <w:ind w:left="920"/>
              <w:spacing w:after="0"/>
              <w:rPr>
                <w:sz w:val="20"/>
                <w:szCs w:val="20"/>
                <w:color w:val="auto"/>
              </w:rPr>
            </w:pPr>
            <w:r>
              <w:rPr>
                <w:rFonts w:ascii="Arial" w:cs="Arial" w:eastAsia="Arial" w:hAnsi="Arial"/>
                <w:sz w:val="18"/>
                <w:szCs w:val="18"/>
                <w:b w:val="1"/>
                <w:bCs w:val="1"/>
                <w:color w:val="auto"/>
              </w:rPr>
              <w:t>Year Ended December 31, 2019</w:t>
            </w:r>
          </w:p>
        </w:tc>
        <w:tc>
          <w:tcPr>
            <w:tcW w:w="13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Community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Monthly</w:t>
            </w:r>
          </w:p>
        </w:tc>
      </w:t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Home Closings</w:t>
            </w:r>
          </w:p>
        </w:tc>
        <w:tc>
          <w:tcPr>
            <w:tcW w:w="3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ASP</w:t>
            </w:r>
          </w:p>
        </w:tc>
        <w:tc>
          <w:tcPr>
            <w:tcW w:w="14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Count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Absorption Rate</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Central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724,981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219,425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Southeast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347,817</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218,478</w:t>
            </w:r>
          </w:p>
        </w:tc>
        <w:tc>
          <w:tcPr>
            <w:tcW w:w="12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Northwest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304,294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367,949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West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271,186</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256,805</w:t>
            </w:r>
          </w:p>
        </w:tc>
        <w:tc>
          <w:tcPr>
            <w:tcW w:w="12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Florida</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189,876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208,426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1,838,154</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7,690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239,032</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65"/>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10"/>
          </w:tcPr>
          <w:p>
            <w:pPr>
              <w:ind w:left="920"/>
              <w:spacing w:after="0"/>
              <w:rPr>
                <w:sz w:val="20"/>
                <w:szCs w:val="20"/>
                <w:color w:val="auto"/>
              </w:rPr>
            </w:pPr>
            <w:r>
              <w:rPr>
                <w:rFonts w:ascii="Arial" w:cs="Arial" w:eastAsia="Arial" w:hAnsi="Arial"/>
                <w:sz w:val="18"/>
                <w:szCs w:val="18"/>
                <w:b w:val="1"/>
                <w:bCs w:val="1"/>
                <w:color w:val="auto"/>
              </w:rPr>
              <w:t>Year Ended December 31, 2018</w:t>
            </w:r>
          </w:p>
        </w:tc>
        <w:tc>
          <w:tcPr>
            <w:tcW w:w="132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Community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Monthly</w:t>
            </w:r>
          </w:p>
        </w:tc>
      </w:t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Home Closings</w:t>
            </w:r>
          </w:p>
        </w:tc>
        <w:tc>
          <w:tcPr>
            <w:tcW w:w="3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ASP</w:t>
            </w:r>
          </w:p>
        </w:tc>
        <w:tc>
          <w:tcPr>
            <w:tcW w:w="14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Count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Absorption Rate</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Central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623,751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212,377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Southeast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271,073</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204,738</w:t>
            </w:r>
          </w:p>
        </w:tc>
        <w:tc>
          <w:tcPr>
            <w:tcW w:w="12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Northwest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277,567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West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151,059</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240,923</w:t>
            </w:r>
          </w:p>
        </w:tc>
        <w:tc>
          <w:tcPr>
            <w:tcW w:w="12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Florida</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180,950</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209,433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1,504,400</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231,020</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73"/>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5"/>
          </w:tcPr>
          <w:p>
            <w:pPr>
              <w:ind w:left="180"/>
              <w:spacing w:after="0"/>
              <w:rPr>
                <w:sz w:val="20"/>
                <w:szCs w:val="20"/>
                <w:color w:val="auto"/>
              </w:rPr>
            </w:pPr>
            <w:r>
              <w:rPr>
                <w:rFonts w:ascii="Arial" w:cs="Arial" w:eastAsia="Arial" w:hAnsi="Arial"/>
                <w:sz w:val="18"/>
                <w:szCs w:val="18"/>
                <w:b w:val="1"/>
                <w:bCs w:val="1"/>
                <w:color w:val="auto"/>
                <w:w w:val="90"/>
              </w:rPr>
              <w:t>At December 31,</w:t>
            </w:r>
          </w:p>
        </w:tc>
        <w:tc>
          <w:tcPr>
            <w:tcW w:w="132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Community count</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Central</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Southeast</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Northwest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West</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Florida</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community count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Home sales revenues for the year ended December 31, 2019 were $1,838.2 million, an increase of $333.8 million, or 22.2%, from $1,504.4 million for the year ended December 31, 2018. The increase in home sales revenues is primarily due to an 18.1% increase in homes closed and an increase in the average sales price per home during the year ended December 31, 2019 as compared to the year ended December 31, 2018. We closed 7,690 homes during 2019, as compared to 6,512 homes closed during 2018. This increase in home closings was largely due to the increase in the number of active communities in 2019. The average sales price per home closed during the year ended December 31, 2019 was $239,032, an increase of $8,012, or 3.5%, from the average sales price per home of $231,020 for the year ended December 31, 2018. This increase in the average sales price per home was primarily due to changes in product mix, higher price points in certain new markets and a favorable pricing environment. The increase in homes closed was largely due to our geographic expansion in the West reportable segment and deepening our presence within certain markets in the Southeast reportable segment during the year ended December 31, 2019 as compared to the year ended December 31, 2018.</w:t>
      </w:r>
    </w:p>
    <w:p>
      <w:pPr>
        <w:spacing w:after="0" w:line="7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continued to diversify our operations outside of our Central reportable segment during 2019. We increased our home sales revenues in our reportable segments other than our Central reportable segment by $232.5 million during the year ended December 31, 2019 as compared to the year ended December 31, 2018, representing a 22.7% increase in the number of homes closed in these reportable segments during 2019 as compared to 2018. Our active selling communities at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increased to 106 from 88 at December 31, 2018. Seventeen of the eighteen active selling communities added during 2019 were outside of our Central reportable segment, contributing to the further geographic diversification of our business.</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Home sales revenues in our West reportable segment increased by $120.1 million, or 79.5%, primarily due to an increase in community count associated with our continued geographic expansion into our California and Nevada markets. Home sales revenues in our Southeast reportable segment increased by $76.7 million, or 28.3%, during the year ended December 31, 2019 as compared to the year ended December 31, 2018, primarily due to a 20.2% increase in the number of homes closed in this reportable segment and partially due to increased community count stemming from the acquisition of Wynn Homes in 2018. All reportable segments added communities by expanding into new markets or deepening existing markets during the year ended December 31, 2019.</w:t>
      </w:r>
    </w:p>
    <w:p>
      <w:pPr>
        <w:spacing w:after="0" w:line="5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Cost of Sales and Gross Margin (home sales revenues less cost of sales). </w:t>
      </w:r>
      <w:r>
        <w:rPr>
          <w:rFonts w:ascii="Arial" w:cs="Arial" w:eastAsia="Arial" w:hAnsi="Arial"/>
          <w:sz w:val="17"/>
          <w:szCs w:val="17"/>
          <w:color w:val="auto"/>
        </w:rPr>
        <w:t>Cost of sales increased for the year ended December 31, 2019 to $1,401.7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$277.2 million, or 24.7%, from $1,124.5 million for the year ended December 31, 2018. This increase is primarily due to an 18.1% increase in homes closed, higher lot costs recognized and, to a lesser extent, increased capitalized interest costs for homes closed during 2019 as compared to 2018. Gross margin for the year ended December 31, 2019 was $436.5 million, an increase of $56.6 million, or 14.9%, from $379.9 million for the year ended December 31, 2018. Gross margin as a percentage of home sales revenues was 23.7% for the year ended December 31, 2019 and 25.3% for the year ended December 31, 2018. This decrease in gross margin as a percentage of home sales revenues is primarily due to higher lot costs and higher capitalized interest costs recognized for the year ended December 31, 2019 as compared to the year ended December 31, 2018 and, to a lesser extent, to 583 wholesale home closings during 2019, compared to 466 wholesale home closings during 2018.</w:t>
      </w:r>
    </w:p>
    <w:p>
      <w:pPr>
        <w:spacing w:after="0" w:line="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Selling expenses for the year ended December 31, 2019 were $131.6 million, an increase of $22.1 million, or 20.2%, from $109.5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2018. Sales commissions increased to $68.1 million for the year ended December 31, 2019 from $57.3 million during 2018 largely due to a 22.2% increase in home sales revenues during 2019 as compared to 2018. Selling expenses as a percentage of home sales revenues were 7.2% and 7.3% for the years ended December 31, 2019 and 2018, respectively. The decrease in selling expenses as a percentage of home sales revenues reflects operating leverage realized from the increase in home sales revenues during the year ended December 31, 2019 as compared to the year ended December 31, 2018.</w:t>
      </w:r>
    </w:p>
    <w:p>
      <w:pPr>
        <w:spacing w:after="0" w:line="8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for the year ended December 31, 2019 were $77.4 million, an increase of $7.0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10.0%, from $70.3 million for the year ended December 31, 2018. The increase in the amount of general and administrative expenses is primarily due to increased personnel associated with an increase of active communities during 2019 as compared to 2018. General and administrative expenses as a percentage of home sales revenues were 4.2% and 4.7% for the years ended December 31, 2019 and 2018, respectively. The decrease in general and administrative expenses as a percentage of home sales revenues reflects operating leverage realized from the increase in retail and wholesale home sales revenues during the year ended December 31, 2019 as compared to the year ended December 31, 2018.</w:t>
      </w:r>
    </w:p>
    <w:p>
      <w:pPr>
        <w:spacing w:after="0" w:line="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Loss on extinguishment of debt. </w:t>
      </w:r>
      <w:r>
        <w:rPr>
          <w:rFonts w:ascii="Arial" w:cs="Arial" w:eastAsia="Arial" w:hAnsi="Arial"/>
          <w:sz w:val="17"/>
          <w:szCs w:val="17"/>
          <w:color w:val="auto"/>
        </w:rPr>
        <w:t>Loss on extinguishment of debt was $0.2 million for the year ended December 31, 2019 due to debt issuance costs</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capitalized that were associated with that certain Fourth Amended and Restated Credit Agreement, dated as of May 6, 2019 (as amended, the “Credit Agreement”). Loss on extinguishment of debt was $3.6 million for the year ended December 31, 2018 due to debt issuance costs previously capitalized that were associated with our third amended and restated credit agreement, dated as of May 2018 (the “2018 Credit Agreement”).</w:t>
      </w:r>
    </w:p>
    <w:p>
      <w:pPr>
        <w:spacing w:after="0" w:line="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Operating Income, Net Income before Income Taxes, and Net Income. </w:t>
      </w:r>
      <w:r>
        <w:rPr>
          <w:rFonts w:ascii="Arial" w:cs="Arial" w:eastAsia="Arial" w:hAnsi="Arial"/>
          <w:sz w:val="17"/>
          <w:szCs w:val="17"/>
          <w:color w:val="auto"/>
        </w:rPr>
        <w:t>Operating income for the year ended December 31, 2019 was $227.5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$27.4 million, or 13.7%, from $200.1 million for the year ended December 31, 2018. Net income before income taxes for the year ended December 31, 2019 was $231.8 million, an increase of $32.7 million, or 16.4%, from $199.1 million for the year ended December 31, 2018. Our reportable segments contributed the following amounts and percentages of net income before income taxes during 2019: Central - $117.4 million or 50.6%; Northwest - $46.9 million or 20.2%; Florida - $16.0 million or 6.9%; Southeast - $30.3 million or 13.1%; and West - $28.5 million or 12.3%. Net income for the year ended December 31, 2019 was $178.6 million, an increase of $23.3 million, or 15.0%, from $155.3 million for the year ended December 31, 2018. The increases are primarily attributed to operating leverage realized from the increase in home sales revenues and higher average sales price, offset by lower gross margin percentage during 2019 as compared to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i w:val="1"/>
          <w:iCs w:val="1"/>
          <w:color w:val="auto"/>
        </w:rPr>
        <w:t xml:space="preserve">Homes Sales. </w:t>
      </w:r>
      <w:r>
        <w:rPr>
          <w:rFonts w:ascii="Arial" w:cs="Arial" w:eastAsia="Arial" w:hAnsi="Arial"/>
          <w:sz w:val="17"/>
          <w:szCs w:val="17"/>
          <w:color w:val="auto"/>
        </w:rPr>
        <w:t>Our home sales revenues, home closings, average sales price (ASP), average community count, average monthly absorption rate and closing</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 count by reportable segment for the years ended December 31, 2018 and 2017 were as follows (Revenues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10"/>
          </w:tcPr>
          <w:p>
            <w:pPr>
              <w:ind w:left="920"/>
              <w:spacing w:after="0"/>
              <w:rPr>
                <w:sz w:val="20"/>
                <w:szCs w:val="20"/>
                <w:color w:val="auto"/>
              </w:rPr>
            </w:pPr>
            <w:r>
              <w:rPr>
                <w:rFonts w:ascii="Arial" w:cs="Arial" w:eastAsia="Arial" w:hAnsi="Arial"/>
                <w:sz w:val="18"/>
                <w:szCs w:val="18"/>
                <w:b w:val="1"/>
                <w:bCs w:val="1"/>
                <w:color w:val="auto"/>
              </w:rPr>
              <w:t>Year Ended December 31, 2018</w:t>
            </w:r>
          </w:p>
        </w:tc>
        <w:tc>
          <w:tcPr>
            <w:tcW w:w="13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Community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Monthly</w:t>
            </w:r>
          </w:p>
        </w:tc>
      </w:t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Home Closings</w:t>
            </w:r>
          </w:p>
        </w:tc>
        <w:tc>
          <w:tcPr>
            <w:tcW w:w="3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ASP</w:t>
            </w:r>
          </w:p>
        </w:tc>
        <w:tc>
          <w:tcPr>
            <w:tcW w:w="14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Count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Absorption Rate</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623,751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212,377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Southeast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271,073</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204,738</w:t>
            </w:r>
          </w:p>
        </w:tc>
        <w:tc>
          <w:tcPr>
            <w:tcW w:w="12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277,567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West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151,059</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240,923</w:t>
            </w:r>
          </w:p>
        </w:tc>
        <w:tc>
          <w:tcPr>
            <w:tcW w:w="12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180,950</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209,433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1,504,400</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231,020</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65"/>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10"/>
          </w:tcPr>
          <w:p>
            <w:pPr>
              <w:ind w:left="920"/>
              <w:spacing w:after="0"/>
              <w:rPr>
                <w:sz w:val="20"/>
                <w:szCs w:val="20"/>
                <w:color w:val="auto"/>
              </w:rPr>
            </w:pPr>
            <w:r>
              <w:rPr>
                <w:rFonts w:ascii="Arial" w:cs="Arial" w:eastAsia="Arial" w:hAnsi="Arial"/>
                <w:sz w:val="18"/>
                <w:szCs w:val="18"/>
                <w:b w:val="1"/>
                <w:bCs w:val="1"/>
                <w:color w:val="auto"/>
              </w:rPr>
              <w:t>Year Ended December 31, 2017</w:t>
            </w:r>
          </w:p>
        </w:tc>
        <w:tc>
          <w:tcPr>
            <w:tcW w:w="132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Community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5"/>
              </w:rPr>
              <w:t>Monthly</w:t>
            </w:r>
          </w:p>
        </w:tc>
      </w:t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Home Closings</w:t>
            </w:r>
          </w:p>
        </w:tc>
        <w:tc>
          <w:tcPr>
            <w:tcW w:w="3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ASP</w:t>
            </w:r>
          </w:p>
        </w:tc>
        <w:tc>
          <w:tcPr>
            <w:tcW w:w="14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Count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Absorption Rate</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Central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533,254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203,843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Southeast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183,422</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188,512</w:t>
            </w:r>
          </w:p>
        </w:tc>
        <w:tc>
          <w:tcPr>
            <w:tcW w:w="12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215,421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342,482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West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126,130</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205,759</w:t>
            </w:r>
          </w:p>
        </w:tc>
        <w:tc>
          <w:tcPr>
            <w:tcW w:w="12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199,733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196,975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1,257,960</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215,220</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73"/>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5"/>
          </w:tcPr>
          <w:p>
            <w:pPr>
              <w:ind w:left="180"/>
              <w:spacing w:after="0"/>
              <w:rPr>
                <w:sz w:val="20"/>
                <w:szCs w:val="20"/>
                <w:color w:val="auto"/>
              </w:rPr>
            </w:pPr>
            <w:r>
              <w:rPr>
                <w:rFonts w:ascii="Arial" w:cs="Arial" w:eastAsia="Arial" w:hAnsi="Arial"/>
                <w:sz w:val="18"/>
                <w:szCs w:val="18"/>
                <w:b w:val="1"/>
                <w:bCs w:val="1"/>
                <w:color w:val="auto"/>
                <w:w w:val="90"/>
              </w:rPr>
              <w:t>At December 31,</w:t>
            </w:r>
          </w:p>
        </w:tc>
        <w:tc>
          <w:tcPr>
            <w:tcW w:w="132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Community count</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Central</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Southeast</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Northwest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West</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Florida</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community count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55"/>
        <w:spacing w:after="0" w:line="272" w:lineRule="auto"/>
        <w:rPr>
          <w:sz w:val="20"/>
          <w:szCs w:val="20"/>
          <w:color w:val="auto"/>
        </w:rPr>
      </w:pPr>
      <w:r>
        <w:rPr>
          <w:rFonts w:ascii="Arial" w:cs="Arial" w:eastAsia="Arial" w:hAnsi="Arial"/>
          <w:sz w:val="17"/>
          <w:szCs w:val="17"/>
          <w:color w:val="auto"/>
        </w:rPr>
        <w:t>Home sales revenues for the year ended December 31, 2018 were $1,504.4 million, an increase of $246.4 million, or 19.6%, from $1,258.0 million for the year ended December 31, 2017. The increase in home sales revenues is primarily due to an 11.4% increase in homes closed and an increase in the average selling price per home during the year ended December 31, 2018 as compared to the year ended December 31, 2017. We closed 6,512 homes during 2018, as compared to 5,845 homes closed during 2017. This increase in home closings was largely due to the increase in the number of active communities in 2018. The average sales price per home closed during the year ended December 31, 2018 was $231,020, an increase of $15,800, or 7.3%, from the average selling price per home of $215,220 for the year ended December 31, 2017. This increase in the average selling price per home was primarily due to changes in product mix, higher price points in certain new markets and a favorable pricing environment.</w:t>
      </w:r>
    </w:p>
    <w:p>
      <w:pPr>
        <w:spacing w:after="0" w:line="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continued to diversify our operations outside of our Central reportable segment during 2018. We increased our home sales revenues in our reportable segments other than our Central reportable segment by $155.9 million during the year ended December 31, 2018 as compared to the year ended December 31, 2017 representing a 10.7% increase in the number of homes closed in these reportable segments during 2018 as compared to 2017. Our active selling communities at December 31, 2018 increased to 88 from 78 at December 31, 2017. Seven of the ten active selling communities added during 2018 were outside of our Central reportable segment, contributing to the further geographic diversification of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Cost of Sales and Gross Margin (home sales revenues less cost of sales). </w:t>
      </w:r>
      <w:r>
        <w:rPr>
          <w:rFonts w:ascii="Arial" w:cs="Arial" w:eastAsia="Arial" w:hAnsi="Arial"/>
          <w:sz w:val="17"/>
          <w:szCs w:val="17"/>
          <w:color w:val="auto"/>
        </w:rPr>
        <w:t>Cost of sales increased for the year ended December 31, 2018 to $1,124.5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$186.9 million, or 19.9%, from $937.5 million for the year ended December 31, 2017. This increase is primarily due to a 11.4% increase in homes closed during 2018 as compared to 2017 and, to a lesser degree, product mix. The increase in average cost of sales per home is primarily due to changes in construction costs associated with product mix and lot costs. Gross margin for the year ended December 31, 2018 was $379.9 million, an increase of $59.5 million, or 18.6%, from $320.4 million for the year ended December 31, 2017. Gross margin as a percentage of home sales revenues was 25.3% for the year ended December 31, 2018 and 25.5% for the year ended December 31, 2017. This decrease in gross margin as a percentage of home sales revenues is primarily due to a combination of higher construction costs and lot costs partially offset by higher average home sales price for the year ended December 31, 2018 as compared to the year ended December 31, 2017 and, to a lesser extent, to 466 wholesale home closings during 2018, compared to 201 wholesale home closings during 2017.</w:t>
      </w:r>
    </w:p>
    <w:p>
      <w:pPr>
        <w:spacing w:after="0" w:line="7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Selling expenses for the year ended December 31, 2018 were $109.5 million, an increase of $14.5 million, or 15.3%, from $95.0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2017. Sales commissions increased to $57.3 million for the year ended December 31, 2018 from $50.2 million during 2017 largely due to a 19.6% increase in home sales revenues during 2018 as compared to 2017. Selling expenses as a percentage of home sales revenues were 7.3% and 7.5% for the years ended December 31, 2018 and 2017, respectively, and generally reflect operating leverage realized relating to advertising costs.</w:t>
      </w:r>
    </w:p>
    <w:p>
      <w:pPr>
        <w:spacing w:after="0" w:line="8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for the year ended December 31, 2018 were $70.3 million, an increase of $14.7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26.4%, from $55.7 million for the year ended December 31, 2017. The increase in the amount of general and administrative expenses is primarily due to additional general and administrative compensation costs associated with an increase of active communities and home closings during 2018 as compared to 2017. General and administrative expenses as a percentage of home sales revenues were 4.7% and 4.4% for the years ended December 31, 2018 and 2017, respectively. The increase in general and administrative expenses as a percentage of home sales revenues reflects additional costs realized from the increase in community count and one-time acquisition related transaction expenses associated with the Wynn Homes acquisition during the year ended December 31, 2018 as compared to the year ended December 31, 2017.</w:t>
      </w:r>
    </w:p>
    <w:p>
      <w:pPr>
        <w:spacing w:after="0" w:line="7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for the year ended December 31, 2018 was $3.6 million, due to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capitalized that were associated with the revolving credit facility. There was no loss on extinguishment of debt for the year ended December 31, 2017.</w:t>
      </w:r>
    </w:p>
    <w:p>
      <w:pPr>
        <w:spacing w:after="0" w:line="7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Operating Income, Net Income before Income Taxes, and Net Income. </w:t>
      </w:r>
      <w:r>
        <w:rPr>
          <w:rFonts w:ascii="Arial" w:cs="Arial" w:eastAsia="Arial" w:hAnsi="Arial"/>
          <w:sz w:val="18"/>
          <w:szCs w:val="18"/>
          <w:color w:val="auto"/>
        </w:rPr>
        <w:t>Operating income for the year ended December 31, 2018 was $200.1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$30.3 million, or 17.9%, from $169.8 million for the year ended December 31, 2017. Net income before income taxes for the year ended December 31, 2018 was $199.1 million, an increase of $27.7 million, or 16.2%, from $171.4 million for the year ended December 31, 2017. Our reportable segments contributed the following amounts and percentages of net income before income taxes during 2018: Central - $104.6 million or 52.5%; Southeast - $29.1 million or 14.6%; Northwest - $40.9 million or 20.5%; West - $13.6 million or 6.8%; and Florida - $21.3 million or 10.7%. Net income for the year ended December 31, 2018 was $155.3 million, an increase of $42.0 million, or 37.1%, from $113.3 million for the year ended December 31, 2017. The increases are primarily attributed to a 11.4% increase in homes closed, a higher average sales price per home, and a decrease in the effective tax rate realized during 2018 as compared to 2017.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the results reported in accordance with U.S. GAAP, we have provided information in this Annual Report on Form 10-K relating to adjusted gross margin, EBITDA and adjusted EBITDA.</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Gross Margin and Adjusted Gross Margin</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Adjusted gross margin is a non-GAAP financial measure used by management as a supplemental measure in evaluating operating performance. We define adjusted gross margin as gross margin less capitalized interest and adjustments resulting from the application of purchase accounting included in the cost of sales. Our management believes this information is useful because it isolates the impact that capitalized interest and purchase accounting adjustments have on gross margin. However, because adjusted gross margin information excludes capitalized interest and purchase accounting adjustments, which have real economic effects and could impact our results, the utility of adjusted gross margin information as a measure of our operating performance may be limited. In addition, other companies may not calculate adjusted gross margin information in the same manner that we do. Accordingly, adjusted gross margin information should be considered only as a supplement to gross margin information as a measure of our performance.</w:t>
      </w:r>
    </w:p>
    <w:p>
      <w:pPr>
        <w:spacing w:after="0" w:line="5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reconciles adjusted gross margin to gross margin, which is the GAAP financial measure that our management believes to be most directly comparable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Year Ended December 31,</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5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sales revenues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1,838,154</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1,504,400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1,257,960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1,401,675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1,124,484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937,540</w:t>
            </w:r>
          </w:p>
        </w:tc>
      </w:tr>
      <w:tr>
        <w:trPr>
          <w:trHeight w:val="27"/>
        </w:trPr>
        <w:tc>
          <w:tcPr>
            <w:tcW w:w="5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436,479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379,916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320,420</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Capitalized interest charged to cost of sales</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35,230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17,400</w:t>
            </w: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25"/>
                <w:szCs w:val="25"/>
                <w:color w:val="auto"/>
                <w:vertAlign w:val="superscript"/>
              </w:rPr>
              <w:t>(1)</w:t>
            </w:r>
          </w:p>
        </w:tc>
        <w:tc>
          <w:tcPr>
            <w:tcW w:w="4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3,324</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246</w:t>
            </w:r>
          </w:p>
        </w:tc>
      </w:tr>
      <w:tr>
        <w:trPr>
          <w:trHeight w:val="297"/>
        </w:trPr>
        <w:tc>
          <w:tcPr>
            <w:tcW w:w="5580" w:type="dxa"/>
            <w:vAlign w:val="bottom"/>
          </w:tcPr>
          <w:p>
            <w:pPr>
              <w:ind w:left="40"/>
              <w:spacing w:after="0"/>
              <w:rPr>
                <w:sz w:val="20"/>
                <w:szCs w:val="20"/>
                <w:color w:val="auto"/>
              </w:rPr>
            </w:pPr>
            <w:r>
              <w:rPr>
                <w:rFonts w:ascii="Arial" w:cs="Arial" w:eastAsia="Arial" w:hAnsi="Arial"/>
                <w:sz w:val="18"/>
                <w:szCs w:val="18"/>
                <w:color w:val="auto"/>
              </w:rPr>
              <w:t>Adjusted gross margin</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475,033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405,635</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338,066</w:t>
            </w:r>
          </w:p>
        </w:tc>
      </w:tr>
      <w:tr>
        <w:trPr>
          <w:trHeight w:val="257"/>
        </w:trPr>
        <w:tc>
          <w:tcPr>
            <w:tcW w:w="5580" w:type="dxa"/>
            <w:vAlign w:val="bottom"/>
            <w:tcBorders>
              <w:top w:val="single" w:sz="8" w:color="CCEEFF"/>
            </w:tcBorders>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Gross margin % </w:t>
            </w:r>
            <w:r>
              <w:rPr>
                <w:rFonts w:ascii="Arial" w:cs="Arial" w:eastAsia="Arial" w:hAnsi="Arial"/>
                <w:sz w:val="25"/>
                <w:szCs w:val="25"/>
                <w:color w:val="auto"/>
                <w:vertAlign w:val="superscript"/>
              </w:rPr>
              <w:t>(2)</w:t>
            </w:r>
          </w:p>
        </w:tc>
        <w:tc>
          <w:tcPr>
            <w:tcW w:w="44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341"/>
        </w:trPr>
        <w:tc>
          <w:tcPr>
            <w:tcW w:w="5580" w:type="dxa"/>
            <w:vAlign w:val="bottom"/>
          </w:tcPr>
          <w:p>
            <w:pPr>
              <w:ind w:left="40"/>
              <w:spacing w:after="0"/>
              <w:rPr>
                <w:sz w:val="20"/>
                <w:szCs w:val="20"/>
                <w:color w:val="auto"/>
              </w:rPr>
            </w:pPr>
            <w:r>
              <w:rPr>
                <w:rFonts w:ascii="Arial" w:cs="Arial" w:eastAsia="Arial" w:hAnsi="Arial"/>
                <w:sz w:val="18"/>
                <w:szCs w:val="18"/>
                <w:color w:val="auto"/>
              </w:rPr>
              <w:t xml:space="preserve">Adjusted gross margin % </w:t>
            </w:r>
            <w:r>
              <w:rPr>
                <w:rFonts w:ascii="Arial" w:cs="Arial" w:eastAsia="Arial" w:hAnsi="Arial"/>
                <w:sz w:val="25"/>
                <w:szCs w:val="25"/>
                <w:color w:val="auto"/>
                <w:vertAlign w:val="superscript"/>
              </w:rPr>
              <w:t>(2)</w:t>
            </w: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w:t>
            </w:r>
          </w:p>
        </w:tc>
      </w:tr>
    </w:tbl>
    <w:p>
      <w:pPr>
        <w:spacing w:after="0" w:line="243" w:lineRule="exact"/>
        <w:rPr>
          <w:sz w:val="20"/>
          <w:szCs w:val="20"/>
          <w:color w:val="auto"/>
        </w:rPr>
      </w:pPr>
    </w:p>
    <w:p>
      <w:pPr>
        <w:ind w:left="580" w:hanging="329"/>
        <w:spacing w:after="0" w:line="275"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Adjustments result from the application of purchase accounting for acquisitions and represent the amount of the fair value step-up adjustments included in cost of sales for real estate inventory sold after the acquisition dates.</w:t>
      </w:r>
    </w:p>
    <w:p>
      <w:pPr>
        <w:spacing w:after="0" w:line="64" w:lineRule="exact"/>
        <w:rPr>
          <w:rFonts w:ascii="Arial" w:cs="Arial" w:eastAsia="Arial" w:hAnsi="Arial"/>
          <w:sz w:val="16"/>
          <w:szCs w:val="16"/>
          <w:color w:val="auto"/>
        </w:rPr>
      </w:pPr>
    </w:p>
    <w:p>
      <w:pPr>
        <w:ind w:left="580" w:hanging="32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Calculated as a percentage of home sales revenues.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and Adjusted EBITDA</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EBITDA and adjusted EBITDA are non-GAAP financial measures used by management as supplemental measures in evaluating operating performance. We define EBITDA as net income before (i) interest expense, (ii) income taxes, (iii) depreciation and amortization and (iv) capitalized interest charged to the cost of sales. We define adjusted EBITDA as net income before (i) interest expense, (ii) income taxes, (iii) depreciation and amortization, (iv) capitalized interest charged to the cost of sales, (v) loss on extinguishment of debt, (vi) other income, net and (vii) adjustments resulting from the application of purchase accounting included in the cost of sales. Our management believes that the presentation of EBITDA and adjusted EBITDA provides useful information to investors regarding our 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 levels of depreciation or amortization and items considered to be unusual or non-recurring. Accordingly, our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 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a substitute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Some of these limitations are:</w:t>
      </w:r>
    </w:p>
    <w:p>
      <w:pPr>
        <w:spacing w:after="0" w:line="73" w:lineRule="exact"/>
        <w:rPr>
          <w:sz w:val="20"/>
          <w:szCs w:val="20"/>
          <w:color w:val="auto"/>
        </w:rPr>
      </w:pPr>
    </w:p>
    <w:p>
      <w:pPr>
        <w:ind w:left="460" w:hanging="209"/>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do not reflect every cash expenditure, future requirements for capital expenditures or contractual commitments, including for purchase of land;</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20" w:hanging="269"/>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do not reflect the interest expense or the cash requirements necessary to service interest or principal payments on our debt;</w:t>
      </w:r>
    </w:p>
    <w:p>
      <w:pPr>
        <w:spacing w:after="0" w:line="63" w:lineRule="exact"/>
        <w:rPr>
          <w:rFonts w:ascii="Arial" w:cs="Arial" w:eastAsia="Arial" w:hAnsi="Arial"/>
          <w:sz w:val="18"/>
          <w:szCs w:val="18"/>
          <w:color w:val="auto"/>
        </w:rPr>
      </w:pPr>
    </w:p>
    <w:p>
      <w:pPr>
        <w:ind w:left="580" w:hanging="329"/>
        <w:spacing w:after="0" w:line="317" w:lineRule="auto"/>
        <w:tabs>
          <w:tab w:leader="none" w:pos="5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or require improvements in the future, and EBITDA and adjusted EBITDA do not reflect any cash requirements for such replacements or improvements;</w:t>
      </w: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w:t>
      </w:r>
    </w:p>
    <w:p>
      <w:pPr>
        <w:spacing w:after="0" w:line="63" w:lineRule="exact"/>
        <w:rPr>
          <w:rFonts w:ascii="Arial" w:cs="Arial" w:eastAsia="Arial" w:hAnsi="Arial"/>
          <w:sz w:val="18"/>
          <w:szCs w:val="18"/>
          <w:color w:val="auto"/>
        </w:rPr>
      </w:pPr>
    </w:p>
    <w:p>
      <w:pPr>
        <w:ind w:left="500" w:hanging="249"/>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and</w:t>
      </w:r>
    </w:p>
    <w:p>
      <w:pPr>
        <w:spacing w:after="0" w:line="74" w:lineRule="exact"/>
        <w:rPr>
          <w:rFonts w:ascii="Arial" w:cs="Arial" w:eastAsia="Arial" w:hAnsi="Arial"/>
          <w:sz w:val="17"/>
          <w:szCs w:val="17"/>
          <w:color w:val="auto"/>
        </w:rPr>
      </w:pP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them differently than we do, limiting their usefulness as a comparative measure.</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Because of these limitations, our EBITDA and adjusted EBITDA should not be considered as measures of discretionary cash available to us to invest in the growth of our business or as measures of cash that will be available to us to meet our obligations. We compensate for these limitations by using our EBITDA and adjusted EBITDA along with other comparative tools, together with GAAP measures, to assist in the evaluation of operating performance. These GAAP measures include operating income, net income and cash flow data. We have significant uses of cash flows, including capital expenditures, interest payments and other non-recurring charges, which are not reflected in our EBITDA or adjusted EBITDA. EBITDA and adjusted EBITDA are not intended as alternatives to net income as indicators of our operating performance, as alternatives to any other measure of performance in conformity with GAAP or as alternatives to cash flows as a measure of liquidity. You should therefore not place undue reliance on our EBITDA or adjusted EBITDA calculated using these measures.</w:t>
      </w:r>
    </w:p>
    <w:p>
      <w:pPr>
        <w:spacing w:after="0" w:line="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reconciles EBITDA and adjusted EBITDA to net income, which is the GAAP measure that our management believes to be most directly comparable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Year Ended December 31,</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178,608</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155,286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113,306</w:t>
            </w: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53,224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43,812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58,096</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791</w:t>
            </w: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 charged to cost of sales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35,230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17,400</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EBITDA</w:t>
            </w: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267,705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224,120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189,593</w:t>
            </w: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accounting adjustments</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3,324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246</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w:t>
            </w: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EBITDA</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266,735</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226,541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188,238</w:t>
            </w:r>
          </w:p>
        </w:tc>
      </w:tr>
      <w:tr>
        <w:trPr>
          <w:trHeight w:val="257"/>
        </w:trPr>
        <w:tc>
          <w:tcPr>
            <w:tcW w:w="55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EBITDA margin %</w:t>
            </w:r>
            <w:r>
              <w:rPr>
                <w:rFonts w:ascii="Arial" w:cs="Arial" w:eastAsia="Arial" w:hAnsi="Arial"/>
                <w:sz w:val="25"/>
                <w:szCs w:val="25"/>
                <w:color w:val="auto"/>
                <w:vertAlign w:val="superscript"/>
              </w:rPr>
              <w:t>(2)</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341"/>
        </w:trPr>
        <w:tc>
          <w:tcPr>
            <w:tcW w:w="5580" w:type="dxa"/>
            <w:vAlign w:val="bottom"/>
          </w:tcPr>
          <w:p>
            <w:pPr>
              <w:ind w:left="40"/>
              <w:spacing w:after="0"/>
              <w:rPr>
                <w:sz w:val="20"/>
                <w:szCs w:val="20"/>
                <w:color w:val="auto"/>
              </w:rPr>
            </w:pPr>
            <w:r>
              <w:rPr>
                <w:rFonts w:ascii="Arial" w:cs="Arial" w:eastAsia="Arial" w:hAnsi="Arial"/>
                <w:sz w:val="18"/>
                <w:szCs w:val="18"/>
                <w:color w:val="auto"/>
              </w:rPr>
              <w:t>Adjusted EBITDA margin %</w:t>
            </w:r>
            <w:r>
              <w:rPr>
                <w:rFonts w:ascii="Arial" w:cs="Arial" w:eastAsia="Arial" w:hAnsi="Arial"/>
                <w:sz w:val="25"/>
                <w:szCs w:val="25"/>
                <w:color w:val="auto"/>
                <w:vertAlign w:val="superscript"/>
              </w:rPr>
              <w:t>(2)</w:t>
            </w: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189" w:lineRule="exact"/>
        <w:rPr>
          <w:sz w:val="20"/>
          <w:szCs w:val="20"/>
          <w:color w:val="auto"/>
        </w:rPr>
      </w:pPr>
    </w:p>
    <w:p>
      <w:pPr>
        <w:ind w:left="580" w:hanging="329"/>
        <w:spacing w:after="0" w:line="275"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result from the application of purchase accounting for acquisitions and represent the amount of the fair value step-up adjustments included in cost of sales for real estate inventory sold after the acquisition dates.</w:t>
      </w:r>
    </w:p>
    <w:p>
      <w:pPr>
        <w:spacing w:after="0" w:line="10" w:lineRule="exact"/>
        <w:rPr>
          <w:rFonts w:ascii="Arial" w:cs="Arial" w:eastAsia="Arial" w:hAnsi="Arial"/>
          <w:sz w:val="16"/>
          <w:szCs w:val="16"/>
          <w:color w:val="auto"/>
        </w:rPr>
      </w:pPr>
    </w:p>
    <w:p>
      <w:pPr>
        <w:ind w:left="580" w:hanging="329"/>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Calculated as a percentage of home sales revenues.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sell our homes under standard purchase contracts, which generally require a homebuyer to pay a deposit at the time of signing the purchase contract. The amount of the required deposit is minimal (generally $1,000). The deposits are refundable if the retail homebuyer is unable to obtain mortgage financing. We permit our retail homebuyers to cancel the purchase contract and obtain a refund of their deposit in the event mortgage financing cannot be obtained within a certain period of time, as specified in their purchase contract. Typically, our retail homebuyers provide documentation regarding their ability to obtain mortgage financing within 14 days after the purchase contract is signed. If we determine that the homebuyer is not qualified to obtain mortgage financing or is not otherwise financially able to purchase the home, we will terminate the purchase contract. If a purchase contract has not been cancelled or terminated within 14 days after the purchase contract has been signed, then the homebuyer has met the preliminary criteria to obtain mortgage financing. Only purchase contracts that are signed by homebuyers who have met the preliminary criteria to obtain mortgage financing are included in new (gross) orders.</w:t>
      </w:r>
    </w:p>
    <w:p>
      <w:pPr>
        <w:spacing w:after="0" w:line="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Our “backlog” consists of homes that are under a purchase contract that has been signed by homebuyers who have met the preliminary criteria to obtain mortgage financing but have not yet closed and wholesale contracts for which </w:t>
      </w:r>
      <w:r>
        <w:rPr>
          <w:rFonts w:ascii="Arial" w:cs="Arial" w:eastAsia="Arial" w:hAnsi="Arial"/>
          <w:sz w:val="17"/>
          <w:szCs w:val="17"/>
          <w:color w:val="212121"/>
        </w:rPr>
        <w:t>vertical construction is set to occur within the next six months</w:t>
      </w:r>
      <w:r>
        <w:rPr>
          <w:rFonts w:ascii="Arial" w:cs="Arial" w:eastAsia="Arial" w:hAnsi="Arial"/>
          <w:sz w:val="17"/>
          <w:szCs w:val="17"/>
          <w:color w:val="auto"/>
        </w:rPr>
        <w:t>. Since our business model is generally based on building move-in ready homes before a purchase contract is signed, the majority of our homes in backlog are currently under construction or complete. Ending backlog represents the number of homes in backlog from the previous period plus the number of net orders (new orders for homes less cancellations) generated during the current period minus the number of homes closed during the current period. Our backlog at any given time will be affected by cancellations, the number of our active communities and the timing of home closings. Homes in backlog are generally closed within one to two months, although we may experience cancellations of purchase contracts at any time prior to closing. It is important to note that net orders, backlog and cancellation metrics are operational, rather than accounting data, and should be used only as a general gauge to evaluate performance. Backlog may be impacted by customer cancellations for various reasons that are beyond our control, and in light of our minimal required deposit, there is little negative impact to the potential homebuyer from the cancellation of the purchase contract.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the dates set forth below, our net orders, cancellation rate, and ending backlog homes and value were as follows (dollars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Year Ended December 31,</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Backlog Data</w:t>
            </w: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64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579"/>
              <w:spacing w:after="0" w:line="196" w:lineRule="exact"/>
              <w:rPr>
                <w:sz w:val="20"/>
                <w:szCs w:val="20"/>
                <w:color w:val="auto"/>
              </w:rPr>
            </w:pPr>
            <w:r>
              <w:rPr>
                <w:rFonts w:ascii="Arial" w:cs="Arial" w:eastAsia="Arial" w:hAnsi="Arial"/>
                <w:sz w:val="16"/>
                <w:szCs w:val="16"/>
                <w:b w:val="1"/>
                <w:bCs w:val="1"/>
                <w:color w:val="auto"/>
              </w:rPr>
              <w:t xml:space="preserve">2019 </w:t>
            </w:r>
            <w:r>
              <w:rPr>
                <w:rFonts w:ascii="Arial" w:cs="Arial" w:eastAsia="Arial" w:hAnsi="Arial"/>
                <w:sz w:val="21"/>
                <w:szCs w:val="21"/>
                <w:b w:val="1"/>
                <w:bCs w:val="1"/>
                <w:color w:val="auto"/>
                <w:vertAlign w:val="superscript"/>
              </w:rPr>
              <w:t>(4)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599"/>
              <w:spacing w:after="0" w:line="196" w:lineRule="exact"/>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jc w:val="right"/>
              <w:ind w:right="599"/>
              <w:spacing w:after="0" w:line="196" w:lineRule="exact"/>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color w:val="auto"/>
                <w:vertAlign w:val="superscript"/>
              </w:rPr>
              <w:t>(6)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020" w:type="dxa"/>
            <w:vAlign w:val="bottom"/>
            <w:tcBorders>
              <w:top w:val="single" w:sz="8" w:color="auto"/>
              <w:bottom w:val="single" w:sz="8" w:color="CCEEFF"/>
            </w:tcBorders>
          </w:tcPr>
          <w:p>
            <w:pPr>
              <w:spacing w:after="0"/>
              <w:rPr>
                <w:sz w:val="4"/>
                <w:szCs w:val="4"/>
                <w:color w:val="auto"/>
              </w:rPr>
            </w:pPr>
          </w:p>
        </w:tc>
        <w:tc>
          <w:tcPr>
            <w:tcW w:w="45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40" w:type="dxa"/>
            <w:vAlign w:val="bottom"/>
            <w:gridSpan w:val="3"/>
            <w:shd w:val="clear" w:color="auto" w:fill="CCEEFF"/>
          </w:tcPr>
          <w:p>
            <w:pPr>
              <w:ind w:left="40"/>
              <w:spacing w:after="0" w:line="250" w:lineRule="exact"/>
              <w:rPr>
                <w:sz w:val="20"/>
                <w:szCs w:val="20"/>
                <w:color w:val="auto"/>
              </w:rPr>
            </w:pPr>
            <w:r>
              <w:rPr>
                <w:rFonts w:ascii="Arial" w:cs="Arial" w:eastAsia="Arial" w:hAnsi="Arial"/>
                <w:sz w:val="18"/>
                <w:szCs w:val="18"/>
                <w:color w:val="auto"/>
              </w:rPr>
              <w:t xml:space="preserve">Net orders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8,299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6,320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6,215</w:t>
            </w:r>
          </w:p>
        </w:tc>
        <w:tc>
          <w:tcPr>
            <w:tcW w:w="0" w:type="dxa"/>
            <w:vAlign w:val="bottom"/>
          </w:tcPr>
          <w:p>
            <w:pPr>
              <w:spacing w:after="0"/>
              <w:rPr>
                <w:sz w:val="1"/>
                <w:szCs w:val="1"/>
                <w:color w:val="auto"/>
              </w:rPr>
            </w:pPr>
          </w:p>
        </w:tc>
      </w:tr>
      <w:tr>
        <w:trPr>
          <w:trHeight w:val="270"/>
        </w:trPr>
        <w:tc>
          <w:tcPr>
            <w:tcW w:w="56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Cancellation rate </w:t>
            </w:r>
            <w:r>
              <w:rPr>
                <w:rFonts w:ascii="Arial" w:cs="Arial" w:eastAsia="Arial" w:hAnsi="Arial"/>
                <w:sz w:val="25"/>
                <w:szCs w:val="25"/>
                <w:color w:val="auto"/>
                <w:vertAlign w:val="superscript"/>
              </w:rPr>
              <w:t>(2)</w:t>
            </w:r>
          </w:p>
        </w:tc>
        <w:tc>
          <w:tcPr>
            <w:tcW w:w="4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70"/>
        </w:trPr>
        <w:tc>
          <w:tcPr>
            <w:tcW w:w="56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Ending backlog - homes </w:t>
            </w:r>
            <w:r>
              <w:rPr>
                <w:rFonts w:ascii="Arial" w:cs="Arial" w:eastAsia="Arial" w:hAnsi="Arial"/>
                <w:sz w:val="25"/>
                <w:szCs w:val="25"/>
                <w:color w:val="auto"/>
                <w:vertAlign w:val="superscript"/>
              </w:rPr>
              <w:t>(3)</w:t>
            </w: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341"/>
        </w:trPr>
        <w:tc>
          <w:tcPr>
            <w:tcW w:w="5640" w:type="dxa"/>
            <w:vAlign w:val="bottom"/>
            <w:gridSpan w:val="3"/>
          </w:tcPr>
          <w:p>
            <w:pPr>
              <w:ind w:left="40"/>
              <w:spacing w:after="0"/>
              <w:rPr>
                <w:sz w:val="20"/>
                <w:szCs w:val="20"/>
                <w:color w:val="auto"/>
              </w:rPr>
            </w:pPr>
            <w:r>
              <w:rPr>
                <w:rFonts w:ascii="Arial" w:cs="Arial" w:eastAsia="Arial" w:hAnsi="Arial"/>
                <w:sz w:val="18"/>
                <w:szCs w:val="18"/>
                <w:color w:val="auto"/>
              </w:rPr>
              <w:t xml:space="preserve">Ending backlog - value </w:t>
            </w:r>
            <w:r>
              <w:rPr>
                <w:rFonts w:ascii="Arial" w:cs="Arial" w:eastAsia="Arial" w:hAnsi="Arial"/>
                <w:sz w:val="25"/>
                <w:szCs w:val="25"/>
                <w:color w:val="auto"/>
                <w:vertAlign w:val="superscript"/>
              </w:rPr>
              <w:t>(3)</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290,438</w:t>
            </w:r>
          </w:p>
        </w:tc>
        <w:tc>
          <w:tcPr>
            <w:tcW w:w="12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156,109</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191,831</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orders are new (gross) orders for the purchase of homes during the period, less cancellations of existing purchase contracts during the period.</w:t>
      </w:r>
    </w:p>
    <w:p>
      <w:pPr>
        <w:spacing w:after="0" w:line="59" w:lineRule="exact"/>
        <w:rPr>
          <w:rFonts w:ascii="Arial" w:cs="Arial" w:eastAsia="Arial" w:hAnsi="Arial"/>
          <w:sz w:val="16"/>
          <w:szCs w:val="16"/>
          <w:color w:val="auto"/>
        </w:rPr>
      </w:pPr>
    </w:p>
    <w:p>
      <w:pPr>
        <w:ind w:left="540" w:right="20" w:hanging="316"/>
        <w:spacing w:after="0" w:line="275"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Cancellation rate for a period is the total number of purchase contracts cancelled during the period divided by the total new (gross) orders for the purchase of homes during the period.</w:t>
      </w:r>
    </w:p>
    <w:p>
      <w:pPr>
        <w:spacing w:after="0" w:line="10" w:lineRule="exact"/>
        <w:rPr>
          <w:rFonts w:ascii="Arial" w:cs="Arial" w:eastAsia="Arial" w:hAnsi="Arial"/>
          <w:sz w:val="16"/>
          <w:szCs w:val="16"/>
          <w:color w:val="auto"/>
        </w:rPr>
      </w:pPr>
    </w:p>
    <w:p>
      <w:pPr>
        <w:ind w:left="540" w:hanging="316"/>
        <w:spacing w:after="0" w:line="300"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Ending backlog consists of homes at the end of the period that are under a purchase contract that has been signed by homebuyers who have met our preliminary financing criteria but have not yet closed and wholesale contracts for which the required deposit has been made. Ending backlog is valued at the contract amount.</w:t>
      </w:r>
    </w:p>
    <w:p>
      <w:pPr>
        <w:ind w:left="540" w:hanging="316"/>
        <w:spacing w:after="0" w:line="275"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December 31, 2019, we have 481 units related to bulk sales agreements associated with our wholesale business, of which 117 units and values are not included in the table above.</w:t>
      </w:r>
    </w:p>
    <w:p>
      <w:pPr>
        <w:spacing w:after="0" w:line="10" w:lineRule="exact"/>
        <w:rPr>
          <w:rFonts w:ascii="Arial" w:cs="Arial" w:eastAsia="Arial" w:hAnsi="Arial"/>
          <w:sz w:val="16"/>
          <w:szCs w:val="16"/>
          <w:color w:val="auto"/>
        </w:rPr>
      </w:pPr>
    </w:p>
    <w:p>
      <w:pPr>
        <w:ind w:left="540" w:hanging="316"/>
        <w:spacing w:after="0" w:line="275"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December 31, 2018, we have 163 units related to bulk sales agreements associated with our wholesale business, of which 92 units and values are not included in the table above.</w:t>
      </w:r>
    </w:p>
    <w:p>
      <w:pPr>
        <w:spacing w:after="0" w:line="10" w:lineRule="exact"/>
        <w:rPr>
          <w:rFonts w:ascii="Arial" w:cs="Arial" w:eastAsia="Arial" w:hAnsi="Arial"/>
          <w:sz w:val="16"/>
          <w:szCs w:val="16"/>
          <w:color w:val="auto"/>
        </w:rPr>
      </w:pPr>
    </w:p>
    <w:p>
      <w:pPr>
        <w:ind w:left="540" w:right="20" w:hanging="316"/>
        <w:spacing w:after="0" w:line="275"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December 31, 2017, we have 149 units related to bulk sales agreements associated with our wholesale business, of which 106 units and values are not included in the table above.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Acquisition Policies and Development</w:t>
      </w:r>
    </w:p>
    <w:p>
      <w:pPr>
        <w:spacing w:after="0" w:line="121"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See discussion included in “</w:t>
      </w:r>
      <w:hyperlink w:anchor="page4">
        <w:r>
          <w:rPr>
            <w:rFonts w:ascii="Arial" w:cs="Arial" w:eastAsia="Arial" w:hAnsi="Arial"/>
            <w:sz w:val="18"/>
            <w:szCs w:val="18"/>
            <w:u w:val="single" w:color="auto"/>
            <w:color w:val="0000EE"/>
          </w:rPr>
          <w:t>Business—Land Acquisition Policies and Development</w:t>
        </w:r>
      </w:hyperlink>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Homes in Inventory</w:t>
      </w:r>
    </w:p>
    <w:p>
      <w:pPr>
        <w:spacing w:after="0" w:line="121"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See discussion included in “</w:t>
      </w:r>
      <w:hyperlink w:anchor="page4">
        <w:r>
          <w:rPr>
            <w:rFonts w:ascii="Arial" w:cs="Arial" w:eastAsia="Arial" w:hAnsi="Arial"/>
            <w:sz w:val="18"/>
            <w:szCs w:val="18"/>
            <w:u w:val="single" w:color="auto"/>
            <w:color w:val="0000EE"/>
          </w:rPr>
          <w:t>Business—Homes in Inventory</w:t>
        </w:r>
      </w:hyperlink>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See discussion included in “</w:t>
      </w:r>
      <w:hyperlink w:anchor="page4">
        <w:r>
          <w:rPr>
            <w:rFonts w:ascii="Arial" w:cs="Arial" w:eastAsia="Arial" w:hAnsi="Arial"/>
            <w:sz w:val="18"/>
            <w:szCs w:val="18"/>
            <w:u w:val="single" w:color="auto"/>
            <w:color w:val="0000EE"/>
          </w:rPr>
          <w:t>Business—Raw Materials and Labor</w:t>
        </w:r>
      </w:hyperlink>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all of our reportable segments, we have historically experienced similar variability in our results of operations and in capital requirements from quarter to quarter due to the seasonal nature of the homebuilding industry. We generally close more homes in our second, third and fourth quarters. Thus, our revenue may fluctuate on a quarterly basis and we may have higher capital requirements in our second, third and fourth quarters in order to maintain our inventory levels. Our revenue and capital requirements are generally similar across our second, third and fourth quarters.</w:t>
      </w:r>
    </w:p>
    <w:p>
      <w:pPr>
        <w:spacing w:after="0" w:line="6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As a result of seasonal activity, our quarterly results of operations and financial position at the end of a particular quarter, especially the first quarter, are not necessarily representative of the results we expect at year end. We expect this seasonal pattern to continue in the long term.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December 31, 2019, we had $38.3 million of cash and cash equivalents. Cash flows for each of our active communities depend on the status of the development cycle and can differ substantially from reported earnings. Early stages of development or expansion require significant cash outlays for land acquisitions, land development, plats, vertical development, construction of information centers, general landscaping and other amenities. Because these costs are a component of our inventory and are not recognized in our statement of operations until a home closes, we incur significant cash outflows prior to recognition of home sales revenues. In the later stages of an active community, cash inflows may exceed home sales revenues reported for financial statement purposes, as the costs associated with home and land construction were previously incurred.</w:t>
      </w:r>
    </w:p>
    <w:p>
      <w:pPr>
        <w:spacing w:after="0" w:line="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principal uses of capital are operating expenses, land and lot purchases, lot development, home construction, interest costs on our indebtedness and the payment of various liabilities. In addition, we may purchase land, lots, homes under construction or other assets as part of an acquisition.</w:t>
      </w:r>
    </w:p>
    <w:p>
      <w:pPr>
        <w:spacing w:after="0" w:line="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generally rely on our ability to finance our operations by generating operating cash flows, borrowing under the Credit Agreement or the issuance and sale of shares of our common stock. As needed, we will consider accessing the debt and equity capital markets as part of our ongoing financing strategy. We also rely on our ability to obtain performance, payment and completion surety bonds as well as letters of credit to finance our projects.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an effective shelf registration statement on Form S-3 (Registration No. 333-227012) that was filed on August 24,</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2018 with the Securities and Exchange Commission, registering the offering and sale of an indeterminate amount of debt securities, guarantees of debt securities, preferred stock, common stock, warrants, depositary shares, purchase contracts and units that include any of these securities. Under the shelf registration statement, we have the ability to access the debt and equity capital markets as needed as part of our ongoing financing strategy.</w:t>
      </w:r>
    </w:p>
    <w:p>
      <w:pPr>
        <w:spacing w:after="0" w:line="6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believe that we will be able to fund our current and foreseeable liquidity needs for at least the next twelve months with our cash on hand, cash generated from operations, and cash expected to be available from the Credit Agreement or through accessing debt or equity capital, as needed.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May 6, 2019, we entered into the Credit Agreement with several financial institutions and Wells Fargo Bank, National Association, as administrative agent. The Credit Agreement has substantially similar terms and provisions to our third amended and restated credit agreement entered into in May 2018 with several financial institutions and Wells Fargo Bank, National Association, as administrative agent (the “2018 Credit Agreement”), but, among other things, provides for a revolving credit facility of $550.0 million, which could be increased at our request by up to $100.0 million if the lenders make additional commitments, subject to the terms and conditions of the Credit Agreement (which was requested in December 2019). On December 6, 2019, we entered into a Lender Addition and Acknowledgement Agreement and First Amendment to Fourth Amended and Restated Credit Agreement with certain lenders and Wells Fargo Bank, National Association, as an increasing lender and administrative agent, whereby the aggregate revolving commitments under the Credit Agreement increased by $100.0 million from $550.0 million to $650.0 million in accordance with the relevant provisions of the Credit Agreement.</w:t>
      </w:r>
    </w:p>
    <w:p>
      <w:pPr>
        <w:spacing w:after="0" w:line="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Agreement matures on May 31, 2022. Before each anniversary of the Credit Agreement, we may request a one-year extension of the maturity date. The Credit Agreement is guaranteed by each of our subsidiaries that have gross assets equal to or greater than $0.5 million. As of December 31, 2019, the borrowing base under the Credit Agreement was $940.1 million, of which borrowings, including our 6.875% Senior Notes due 2026 (the “Senior Notes”), of $699.6 million were outstanding, $11.6 million of letters of credit were outstanding and $228.0 million was available to borrow under the Credit Agreement, net of deferred purchase price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is paid monthly on borrowings under the Credit Agreement at LIBOR plus 2.50%. The Credit Agreement applicable margin for LIBOR loans ranges from 2.35% to 2.75% based on our leverage ratio. At December 31, 2019, LIBOR was 1.75%.</w:t>
      </w:r>
    </w:p>
    <w:p>
      <w:pPr>
        <w:spacing w:after="0" w:line="6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Credit Agreement requires us to maintain (i) a tangible net worth of not less than approximately $486.9 million plus 75% of the net proceeds of all equity issuances plus 50% of the amount of our positive net income in any fiscal quarter after December 31, 2018, (ii) a leverage ratio of not greater than 60.0%, (iii) liquidity of at least $50.0 million and (iv) a ratio of EBITDA to interest expense for the most recent four quarters of at least 2.50 to 1.00. The Credit Agreement contains various covenants that, among other restrictions, limit the amount of our additional debt and our ability to make certain investments. At December 31, 2019, we were in compliance with all of the covenants contained in the Credit Agreement.</w:t>
      </w:r>
    </w:p>
    <w:p>
      <w:pPr>
        <w:spacing w:after="0" w:line="64"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July 2017, the Financial Conduct Authority in the United Kingdom, which regulates LIBOR, announced that it intends to phase out LIBOR as a benchmark by the end of 2021. At the present time, the Credit Agreement has a term that extends beyond 2021, and borrowings under the Credit Agreement bear interest at LIBOR plus an applicable margin. The Credit Agreement provides for a mechanism to amend the Credit Agreement to reflect the establishment of an alternate rate of interest upon the occurrence of certain events related to the phase-out of any applicable interest rate. However, we have not yet pursued any technical amendment or other contractual alternative to address this matter. We are currently evaluating the potential impact of the eventual replacement of the LIBOR interest rate on the Credit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Offering</w:t>
      </w:r>
    </w:p>
    <w:p>
      <w:pPr>
        <w:spacing w:after="0" w:line="131" w:lineRule="exact"/>
        <w:rPr>
          <w:sz w:val="20"/>
          <w:szCs w:val="20"/>
          <w:color w:val="auto"/>
        </w:rPr>
      </w:pPr>
    </w:p>
    <w:p>
      <w:pPr>
        <w:jc w:val="both"/>
        <w:ind w:firstLine="405"/>
        <w:spacing w:after="0" w:line="307" w:lineRule="auto"/>
        <w:rPr>
          <w:sz w:val="20"/>
          <w:szCs w:val="20"/>
          <w:color w:val="auto"/>
        </w:rPr>
      </w:pPr>
      <w:r>
        <w:rPr>
          <w:rFonts w:ascii="Arial" w:cs="Arial" w:eastAsia="Arial" w:hAnsi="Arial"/>
          <w:sz w:val="16"/>
          <w:szCs w:val="16"/>
          <w:color w:val="auto"/>
        </w:rPr>
        <w:t xml:space="preserve">On July 6, 2018, we issued $300.0 million aggregate principal amount of the Senior Notes in an offering to persons reasonably believed to be qualified institutional buyers in the United States </w:t>
      </w:r>
      <w:r>
        <w:rPr>
          <w:rFonts w:ascii="Arial" w:cs="Arial" w:eastAsia="Arial" w:hAnsi="Arial"/>
          <w:sz w:val="17"/>
          <w:szCs w:val="17"/>
          <w:color w:val="auto"/>
        </w:rPr>
        <w:t>pursu</w:t>
      </w:r>
      <w:r>
        <w:rPr>
          <w:rFonts w:ascii="Arial" w:cs="Arial" w:eastAsia="Arial" w:hAnsi="Arial"/>
          <w:sz w:val="16"/>
          <w:szCs w:val="16"/>
          <w:color w:val="auto"/>
        </w:rPr>
        <w:t>ant to Rule 144A under the Securities Act of 1933, as amended (the “Securities Act”), and to certain non-U.S. persons in transactions outside the United States pursuant to Regulation S under the Securities Act. Interest on the Senior Notes accrues at a rate of 6.875% per annum, payable semi-annually in arrears on January 15 and July 15 of each year, commencing on January 15, 2019, and the Senior Notes mature on July 15, 2026. Terms of the Senior Notes are governed by an indenture and supplemental indenture, each dated as of July 6, 2018, among us, our subsidiaries that guarantee our obligations under the Credit Agreement and Wilmington Trust, National Association, as trustee.</w:t>
      </w:r>
    </w:p>
    <w:p>
      <w:pPr>
        <w:spacing w:after="0" w:line="4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received net proceeds from the offering of the Senior Notes of approximately $296.2 million, after deducting the initial purchasers’ discounts and commissions and offering expenses. The net proceeds from the offering were used to repay a portion of the borrowings under the 2018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issued $85.0 million aggregate principal amount of the Convertible Notes in November 2014 pursuant to an exemption from the registration requirements afforded by Section 4(a)(2) of the Securities Act.</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fourth quarter of 2017, we received notice from holders of $15.0 million principal amount of the Convertible Notes to convert their Convertible Notes. The conversion of such Convertible Notes was settled in the first quarter of 2018, resulting in the issuance of 486,679 shares of our common stock, a $0.6 million reduction to debt discount and additional paid in capital, a $0.2 million loss on the extinguishment of debt and a cash payment of $15.0 million for the principal amount of such Convertible Notes. On November 15, 2019, the Convertible Notes matured, which resulted in the principal payment of $70.0 million and the issuance of 2,381,751 shares of our common stock for the premium associated with the Convertible Notes.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Surety Bonds and Financial Guarantees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are often required to provide letters of credit and surety bonds to secure our performance under construction contracts, development agreements and other arrangements. The amount of such obligations outstanding at any time varies in accordance with our pending development activities. In the event any such bonds or letters of credit are drawn upon, we would be obligated to reimburse the issuer of such bonds or letters of credit.</w:t>
      </w:r>
    </w:p>
    <w:p>
      <w:pPr>
        <w:spacing w:after="0" w:line="3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Under these letters of credit, surety bonds and financial guarantees, we are committed to perform certain development and construction activities and provide certain guarantees in the normal course of business. Outstanding letters of credit, surety bonds and financial guarantees under these arrangements, totaled $108.7 million as of December 31, 2019. Although significant development and construction activities have been completed related to the improvements at these sites, the letters of credit and surety bonds are not generally released until all development and construction activities are completed. We do not believe that it is probable that any outstanding letters of credit, surety bonds or financial guarantees as of December 31, 2019 will be drawn upon.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cash used in operating activities was $41.9 million during the year ended December 31, 2019. The primary drivers of operating cash flows are typically cash earnings and changes in inventory levels, including land acquisition and development. Net cash used in operating activities during the year ended December 31, 2019 was primarily driven by net income of $178.6 million, and included cash outlays for the $266.6 million increase in the net change in real estate inventory, which was primarily related to our homes under construction and land acquisitions and development level of activity offset by changes in non-inventory balances of $46.1 million.</w:t>
      </w:r>
    </w:p>
    <w:p>
      <w:pPr>
        <w:spacing w:after="0" w:line="8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Net cash used in operating activities was $116.7 million during the year ended December 31, 2018, was primarily driven by net income of $155.3 million, and included cash outlays for the $234.7 million increase in the net change in real estate inventory, which was primarily related to our homes under construction and land acquisitions and development level of activity and additional cash outlays due to changes in non-inventory balances of $37.3 million.</w:t>
      </w:r>
    </w:p>
    <w:p>
      <w:pPr>
        <w:spacing w:after="0" w:line="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Net cash used in operating activities was $68.5 million during the year ended December 31, 2017, was primarily driven by net income of $113.3 million, and included cash outlays for the $200.6 million increase in the net change in real estate inventory, which was primarily related to our homes under construction and land acquisitions and development level of activity offset by changes in non-inventory balances of $18.8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used in investing activities was $1.8 million during the year ended December 31, 2019, which reflects the purchase of property and equipment.</w:t>
      </w:r>
    </w:p>
    <w:p>
      <w:pPr>
        <w:spacing w:after="0" w:line="1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cash used in investing activities was $74.9 million during the year ended December 31, 2018, primarily due to the business acquisition of Wynn Homes in 2018.</w:t>
      </w:r>
    </w:p>
    <w:p>
      <w:pPr>
        <w:spacing w:after="0" w:line="62" w:lineRule="exact"/>
        <w:rPr>
          <w:sz w:val="20"/>
          <w:szCs w:val="20"/>
          <w:color w:val="auto"/>
        </w:rPr>
      </w:pPr>
    </w:p>
    <w:p>
      <w:pPr>
        <w:ind w:right="40" w:firstLine="405"/>
        <w:spacing w:after="0" w:line="375" w:lineRule="auto"/>
        <w:rPr>
          <w:sz w:val="20"/>
          <w:szCs w:val="20"/>
          <w:color w:val="auto"/>
        </w:rPr>
      </w:pPr>
      <w:r>
        <w:rPr>
          <w:rFonts w:ascii="Arial" w:cs="Arial" w:eastAsia="Arial" w:hAnsi="Arial"/>
          <w:sz w:val="18"/>
          <w:szCs w:val="18"/>
          <w:color w:val="auto"/>
        </w:rPr>
        <w:t xml:space="preserve">Net cash used in investing activities was $0.5 million during the year ended December 31, 2017, which reflects the purchase of property and equipment. </w:t>
      </w:r>
      <w:r>
        <w:rPr>
          <w:rFonts w:ascii="Arial" w:cs="Arial" w:eastAsia="Arial" w:hAnsi="Arial"/>
          <w:sz w:val="18"/>
          <w:szCs w:val="18"/>
          <w:i w:val="1"/>
          <w:iCs w:val="1"/>
          <w:u w:val="single" w:color="auto"/>
          <w:color w:val="auto"/>
        </w:rPr>
        <w:t>Financing Activities</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cash provided by financing activities during the year ended December 31, 2019 was $35.4 million primarily driven by net borrowings of $105.5 million under the Credit Agreement offset by $70.0 million payment on the Convertible Notes upon their maturity.</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during the year ended December 31, 2018 was $170.7 million, primarily driven by net borrowings from the issuance of $300.0 million aggregate principal amount of the Senior Notes, net payments of $106.2 million under the 2018 Credit Agreement and payments of $15.0 million on the Convertible Notes, partially offset by loan issuance costs.</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Net cash provided by financing activities during the year ended December 31, 2017 was $87.0 million, primarily driven by net borrowings of $75.0 million under our credit agreement in place at that time and $17.1 million in net proceeds related to sale of stock partially offset by loan issuance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the ordinary course of business, we enter into land purchase contracts in order to procure land and lots for the construction of our homes. We are subject to customary obligations associated with entering into contracts for the purchase of land and improved lots. These contracts typically require cash deposits and the purchase of properties under these contracts is generally contingent upon satisfaction of certain requirements by the sellers, which may include obtaining applicable property and development entitlements or the completion of development activities and the delivery of finished lots. We also utilize contracts with land sellers as a method of acquiring lots and land in staged takedowns, which helps us manage the financial and market risk associated with land holdings and minimize the use of funds from our corporate financing sources. Such contracts generally require a non-refundable deposit for the right to acquire land or lots over a specified period of time at pre-determined prices. We generally have the right at our discretion to terminate our obligations under purchase contracts during the initial feasibility period and receive a refund of our deposit, or we may terminate the contracts after the end of the feasibility period by forfeiting our cash deposit with no further financial obligations to the land seller. In addition, our deposit may also be refundable if the land seller does not satisfy all conditions precedent in the respective contract. As of December 31, 2019, we had $35.1 million of cash deposits pertaining to land purchase contracts for 16,205 lots with an aggregate purchase price of $539.1 million. Approximately $26.3 million of the cash deposits as of December 31, 2019 are secured by third-party guarantees or indemnity mortgages on the related property.</w:t>
      </w:r>
    </w:p>
    <w:p>
      <w:pPr>
        <w:spacing w:after="0" w:line="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utilization of land purchase contracts is dependent on, among other things, the availability of land sellers willing to enter into contracts at acceptable terms, which may include option takedown arrangements, the availability of capital to financial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intermediaries to finance the development of optioned lots, general housing conditions, and local market dynamics. Land purchase contracts may be more difficult to procure from land sellers in strong housing markets and are more prevalent in certain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business can be adversely impacted by inflation, primarily from higher land, financing, labor, material, and construction costs. In addition, inflation can lead to higher mortgage rates, which can significantly affect the affordability of mortgage financing to homebuyers.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is a summary of our contractual obligations as of December 31, 2019 and the effect such obligations are expected to have on our liquidity and cash flows in future periods.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gridSpan w:val="8"/>
          </w:tcPr>
          <w:p>
            <w:pPr>
              <w:jc w:val="center"/>
              <w:ind w:right="420"/>
              <w:spacing w:after="0"/>
              <w:rPr>
                <w:sz w:val="20"/>
                <w:szCs w:val="20"/>
                <w:color w:val="auto"/>
              </w:rPr>
            </w:pPr>
            <w:r>
              <w:rPr>
                <w:rFonts w:ascii="Arial" w:cs="Arial" w:eastAsia="Arial" w:hAnsi="Arial"/>
                <w:sz w:val="16"/>
                <w:szCs w:val="16"/>
                <w:b w:val="1"/>
                <w:bCs w:val="1"/>
                <w:color w:val="auto"/>
                <w:w w:val="90"/>
              </w:rPr>
              <w:t>Payments due by period (in thousands)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Less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than</w:t>
            </w:r>
          </w:p>
        </w:tc>
        <w:tc>
          <w:tcPr>
            <w:tcW w:w="300" w:type="dxa"/>
            <w:vAlign w:val="bottom"/>
          </w:tcPr>
          <w:p>
            <w:pPr>
              <w:spacing w:after="0"/>
              <w:rPr>
                <w:sz w:val="17"/>
                <w:szCs w:val="17"/>
                <w:color w:val="auto"/>
              </w:rPr>
            </w:pPr>
          </w:p>
        </w:tc>
        <w:tc>
          <w:tcPr>
            <w:tcW w:w="1060" w:type="dxa"/>
            <w:vAlign w:val="bottom"/>
          </w:tcPr>
          <w:p>
            <w:pPr>
              <w:jc w:val="center"/>
              <w:ind w:right="232"/>
              <w:spacing w:after="0"/>
              <w:rPr>
                <w:sz w:val="20"/>
                <w:szCs w:val="20"/>
                <w:color w:val="auto"/>
              </w:rPr>
            </w:pPr>
            <w:r>
              <w:rPr>
                <w:rFonts w:ascii="Arial" w:cs="Arial" w:eastAsia="Arial" w:hAnsi="Arial"/>
                <w:sz w:val="16"/>
                <w:szCs w:val="16"/>
                <w:b w:val="1"/>
                <w:bCs w:val="1"/>
                <w:color w:val="auto"/>
                <w:w w:val="94"/>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72"/>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1 year</w:t>
            </w: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years</w:t>
            </w:r>
          </w:p>
        </w:tc>
        <w:tc>
          <w:tcPr>
            <w:tcW w:w="3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color w:val="auto"/>
              </w:rPr>
              <w:t>Borrowings: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080" w:type="dxa"/>
            <w:vAlign w:val="bottom"/>
          </w:tcPr>
          <w:p>
            <w:pPr>
              <w:ind w:left="140"/>
              <w:spacing w:after="0"/>
              <w:rPr>
                <w:sz w:val="20"/>
                <w:szCs w:val="20"/>
                <w:color w:val="auto"/>
              </w:rPr>
            </w:pPr>
            <w:r>
              <w:rPr>
                <w:rFonts w:ascii="Arial" w:cs="Arial" w:eastAsia="Arial" w:hAnsi="Arial"/>
                <w:sz w:val="18"/>
                <w:szCs w:val="18"/>
                <w:color w:val="auto"/>
              </w:rPr>
              <w:t xml:space="preserve">Credit Agreement </w:t>
            </w:r>
            <w:r>
              <w:rPr>
                <w:rFonts w:ascii="Arial" w:cs="Arial" w:eastAsia="Arial" w:hAnsi="Arial"/>
                <w:sz w:val="25"/>
                <w:szCs w:val="25"/>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399,558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399,558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(b)</w:t>
            </w:r>
          </w:p>
        </w:tc>
        <w:tc>
          <w:tcPr>
            <w:tcW w:w="32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line="270" w:lineRule="exact"/>
              <w:rPr>
                <w:sz w:val="20"/>
                <w:szCs w:val="20"/>
                <w:color w:val="auto"/>
              </w:rPr>
            </w:pPr>
            <w:r>
              <w:rPr>
                <w:rFonts w:ascii="Arial" w:cs="Arial" w:eastAsia="Arial" w:hAnsi="Arial"/>
                <w:sz w:val="18"/>
                <w:szCs w:val="18"/>
                <w:color w:val="auto"/>
              </w:rPr>
              <w:t>Inventory related obligations</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70"/>
        </w:trPr>
        <w:tc>
          <w:tcPr>
            <w:tcW w:w="4080" w:type="dxa"/>
            <w:vAlign w:val="bottom"/>
          </w:tcPr>
          <w:p>
            <w:pPr>
              <w:spacing w:after="0" w:line="270" w:lineRule="exact"/>
              <w:rPr>
                <w:sz w:val="20"/>
                <w:szCs w:val="20"/>
                <w:color w:val="auto"/>
              </w:rPr>
            </w:pPr>
            <w:r>
              <w:rPr>
                <w:rFonts w:ascii="Arial" w:cs="Arial" w:eastAsia="Arial" w:hAnsi="Arial"/>
                <w:sz w:val="18"/>
                <w:szCs w:val="18"/>
                <w:color w:val="auto"/>
              </w:rPr>
              <w:t xml:space="preserve">Interest and fees </w:t>
            </w:r>
            <w:r>
              <w:rPr>
                <w:rFonts w:ascii="Arial" w:cs="Arial" w:eastAsia="Arial" w:hAnsi="Arial"/>
                <w:sz w:val="25"/>
                <w:szCs w:val="25"/>
                <w:color w:val="auto"/>
                <w:vertAlign w:val="superscript"/>
              </w:rPr>
              <w:t>(d)</w:t>
            </w:r>
          </w:p>
        </w:tc>
        <w:tc>
          <w:tcPr>
            <w:tcW w:w="32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209,658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43,445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66,483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42,097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57,633</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923,935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44,757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468,444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43,981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366,753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hanging="329"/>
        <w:spacing w:after="0" w:line="298" w:lineRule="auto"/>
        <w:tabs>
          <w:tab w:leader="none" w:pos="580" w:val="left"/>
        </w:tabs>
        <w:numPr>
          <w:ilvl w:val="0"/>
          <w:numId w:val="15"/>
        </w:numPr>
        <w:rPr>
          <w:rFonts w:ascii="Arial" w:cs="Arial" w:eastAsia="Arial" w:hAnsi="Arial"/>
          <w:sz w:val="16"/>
          <w:szCs w:val="16"/>
          <w:color w:val="0000EE"/>
        </w:rPr>
      </w:pPr>
      <w:r>
        <w:rPr>
          <w:rFonts w:ascii="Arial" w:cs="Arial" w:eastAsia="Arial" w:hAnsi="Arial"/>
          <w:sz w:val="16"/>
          <w:szCs w:val="16"/>
          <w:color w:val="auto"/>
        </w:rPr>
        <w:t xml:space="preserve">Represents borrowings under the Credit Agreement, which matures on May 31, 2022. See </w:t>
      </w:r>
      <w:hyperlink w:anchor="page61">
        <w:r>
          <w:rPr>
            <w:rFonts w:ascii="Arial" w:cs="Arial" w:eastAsia="Arial" w:hAnsi="Arial"/>
            <w:sz w:val="16"/>
            <w:szCs w:val="16"/>
            <w:u w:val="single" w:color="auto"/>
            <w:color w:val="0000EE"/>
          </w:rPr>
          <w:t>Note 7</w:t>
        </w:r>
        <w:r>
          <w:rPr>
            <w:rFonts w:ascii="Arial" w:cs="Arial" w:eastAsia="Arial" w:hAnsi="Arial"/>
            <w:sz w:val="16"/>
            <w:szCs w:val="16"/>
            <w:u w:val="single" w:color="auto"/>
            <w:color w:val="auto"/>
          </w:rPr>
          <w:t xml:space="preserve"> </w:t>
        </w:r>
      </w:hyperlink>
      <w:r>
        <w:rPr>
          <w:rFonts w:ascii="Arial" w:cs="Arial" w:eastAsia="Arial" w:hAnsi="Arial"/>
          <w:sz w:val="18"/>
          <w:szCs w:val="18"/>
          <w:color w:val="auto"/>
        </w:rPr>
        <w:t>“</w:t>
      </w:r>
      <w:hyperlink w:anchor="page61">
        <w:r>
          <w:rPr>
            <w:rFonts w:ascii="Arial" w:cs="Arial" w:eastAsia="Arial" w:hAnsi="Arial"/>
            <w:sz w:val="16"/>
            <w:szCs w:val="16"/>
            <w:i w:val="1"/>
            <w:iCs w:val="1"/>
            <w:u w:val="single" w:color="auto"/>
            <w:color w:val="0000EE"/>
          </w:rPr>
          <w:t>Notes Payable</w:t>
        </w:r>
      </w:hyperlink>
      <w:r>
        <w:rPr>
          <w:rFonts w:ascii="Arial" w:cs="Arial" w:eastAsia="Arial" w:hAnsi="Arial"/>
          <w:sz w:val="18"/>
          <w:szCs w:val="18"/>
          <w:color w:val="auto"/>
        </w:rPr>
        <w:t>”</w:t>
      </w:r>
      <w:r>
        <w:rPr>
          <w:rFonts w:ascii="Arial" w:cs="Arial" w:eastAsia="Arial" w:hAnsi="Arial"/>
          <w:sz w:val="16"/>
          <w:szCs w:val="16"/>
          <w:color w:val="auto"/>
        </w:rPr>
        <w:t xml:space="preserve"> to our consolidated financial statements included in </w:t>
      </w:r>
      <w:hyperlink w:anchor="page48">
        <w:r>
          <w:rPr>
            <w:rFonts w:ascii="Arial" w:cs="Arial" w:eastAsia="Arial" w:hAnsi="Arial"/>
            <w:sz w:val="16"/>
            <w:szCs w:val="16"/>
            <w:u w:val="single" w:color="auto"/>
            <w:color w:val="0000EE"/>
          </w:rPr>
          <w:t>Part II, Item 8</w:t>
        </w:r>
        <w:r>
          <w:rPr>
            <w:rFonts w:ascii="Arial" w:cs="Arial" w:eastAsia="Arial" w:hAnsi="Arial"/>
            <w:sz w:val="16"/>
            <w:szCs w:val="16"/>
            <w:color w:val="0000EE"/>
          </w:rPr>
          <w:t xml:space="preserve"> </w:t>
        </w:r>
      </w:hyperlink>
      <w:r>
        <w:rPr>
          <w:rFonts w:ascii="Arial" w:cs="Arial" w:eastAsia="Arial" w:hAnsi="Arial"/>
          <w:sz w:val="16"/>
          <w:szCs w:val="16"/>
          <w:color w:val="000000"/>
        </w:rPr>
        <w:t>of</w:t>
      </w:r>
      <w:r>
        <w:rPr>
          <w:rFonts w:ascii="Arial" w:cs="Arial" w:eastAsia="Arial" w:hAnsi="Arial"/>
          <w:sz w:val="16"/>
          <w:szCs w:val="16"/>
          <w:color w:val="0000EE"/>
        </w:rPr>
        <w:t xml:space="preserve"> </w:t>
      </w:r>
      <w:r>
        <w:rPr>
          <w:rFonts w:ascii="Arial" w:cs="Arial" w:eastAsia="Arial" w:hAnsi="Arial"/>
          <w:sz w:val="16"/>
          <w:szCs w:val="16"/>
          <w:color w:val="000000"/>
        </w:rPr>
        <w:t>this Annual Report on Form 10-K for additional information regarding our long-term debt.</w:t>
      </w:r>
    </w:p>
    <w:p>
      <w:pPr>
        <w:ind w:left="580" w:hanging="329"/>
        <w:spacing w:after="0" w:line="341"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Represents $300.0 million aggregate principal amount of our 6.875% Senior Notes due 2026. The Senior Notes mature on July 15, 2026. See </w:t>
      </w:r>
      <w:hyperlink w:anchor="page61">
        <w:r>
          <w:rPr>
            <w:rFonts w:ascii="Arial" w:cs="Arial" w:eastAsia="Arial" w:hAnsi="Arial"/>
            <w:sz w:val="14"/>
            <w:szCs w:val="14"/>
            <w:u w:val="single" w:color="auto"/>
            <w:color w:val="0000EE"/>
          </w:rPr>
          <w:t>Note 7</w:t>
        </w:r>
        <w:r>
          <w:rPr>
            <w:rFonts w:ascii="Arial" w:cs="Arial" w:eastAsia="Arial" w:hAnsi="Arial"/>
            <w:sz w:val="14"/>
            <w:szCs w:val="14"/>
            <w:u w:val="single" w:color="auto"/>
            <w:color w:val="auto"/>
          </w:rPr>
          <w:t xml:space="preserve"> </w:t>
        </w:r>
      </w:hyperlink>
      <w:r>
        <w:rPr>
          <w:rFonts w:ascii="Arial" w:cs="Arial" w:eastAsia="Arial" w:hAnsi="Arial"/>
          <w:sz w:val="16"/>
          <w:szCs w:val="16"/>
          <w:color w:val="auto"/>
        </w:rPr>
        <w:t>“</w:t>
      </w:r>
      <w:hyperlink w:anchor="page61">
        <w:r>
          <w:rPr>
            <w:rFonts w:ascii="Arial" w:cs="Arial" w:eastAsia="Arial" w:hAnsi="Arial"/>
            <w:sz w:val="14"/>
            <w:szCs w:val="14"/>
            <w:i w:val="1"/>
            <w:iCs w:val="1"/>
            <w:u w:val="single" w:color="auto"/>
            <w:color w:val="0000EE"/>
          </w:rPr>
          <w:t>Notes Payable</w:t>
        </w:r>
      </w:hyperlink>
      <w:r>
        <w:rPr>
          <w:rFonts w:ascii="Arial" w:cs="Arial" w:eastAsia="Arial" w:hAnsi="Arial"/>
          <w:sz w:val="16"/>
          <w:szCs w:val="16"/>
          <w:color w:val="auto"/>
        </w:rPr>
        <w:t>”</w:t>
      </w:r>
      <w:r>
        <w:rPr>
          <w:rFonts w:ascii="Arial" w:cs="Arial" w:eastAsia="Arial" w:hAnsi="Arial"/>
          <w:sz w:val="14"/>
          <w:szCs w:val="14"/>
          <w:color w:val="auto"/>
        </w:rPr>
        <w:t xml:space="preserve"> to our consolidated financial statements included in </w:t>
      </w:r>
      <w:hyperlink w:anchor="page48">
        <w:r>
          <w:rPr>
            <w:rFonts w:ascii="Arial" w:cs="Arial" w:eastAsia="Arial" w:hAnsi="Arial"/>
            <w:sz w:val="14"/>
            <w:szCs w:val="14"/>
            <w:u w:val="single" w:color="auto"/>
            <w:color w:val="0000EE"/>
          </w:rPr>
          <w:t>Part II, Item 8</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Annual Report on Form 10-K for additional information regarding our long-term debt.</w:t>
      </w:r>
    </w:p>
    <w:p>
      <w:pPr>
        <w:ind w:left="580" w:hanging="329"/>
        <w:spacing w:after="0" w:line="300" w:lineRule="auto"/>
        <w:tabs>
          <w:tab w:leader="none" w:pos="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owns lots in certain communities that have Community Development Districts or similar utility and infrastructure development special assessment programs that allocate a fixed amount of debt service associated with development activities to each lot. Such obligations represent a non-cash cost of the lots.</w:t>
      </w:r>
    </w:p>
    <w:p>
      <w:pPr>
        <w:jc w:val="both"/>
        <w:ind w:left="580" w:hanging="329"/>
        <w:spacing w:after="0" w:line="253"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the outstanding borrowings under the Credit Agreement are at variable rates based on LIBOR, or subject to an interest rate floor. The interest rate for our variable rate indebtedness as of December 31, 2019 was LIBOR plus 2.50%. Fees under the Credit Agreement are approximately $0.1 million per year. Interest on the Senior Notes accrues at a rate of 6.875% per annum, payable semi-annually in arrears on January 15 and July 15 of each year. Inventory related obligations for infrastructure development attached to the land are subject to a fixed interest rate generally ranging from 1.35% to 6.02%, typically payable over a 30 year period, and are ultimately assumed by the homebuyer when home sales are closed.</w:t>
      </w:r>
    </w:p>
    <w:p>
      <w:pPr>
        <w:spacing w:after="0" w:line="12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rFonts w:ascii="Arial" w:cs="Arial" w:eastAsia="Arial" w:hAnsi="Arial"/>
          <w:sz w:val="14"/>
          <w:szCs w:val="14"/>
          <w:color w:val="auto"/>
        </w:rPr>
      </w:pPr>
    </w:p>
    <w:p>
      <w:pPr>
        <w:jc w:val="both"/>
        <w:ind w:firstLine="405"/>
        <w:spacing w:after="0" w:line="277" w:lineRule="auto"/>
        <w:rPr>
          <w:sz w:val="20"/>
          <w:szCs w:val="20"/>
          <w:color w:val="auto"/>
        </w:rPr>
      </w:pPr>
      <w:r>
        <w:rPr>
          <w:rFonts w:ascii="Arial" w:cs="Arial" w:eastAsia="Arial" w:hAnsi="Arial"/>
          <w:sz w:val="18"/>
          <w:szCs w:val="18"/>
          <w:color w:val="auto"/>
        </w:rPr>
        <w:t>Discussed below are accounting policies that we believe are critical because of the significance of the activity to which they relate or because they require the use of significant judgment in their application.</w:t>
      </w:r>
    </w:p>
    <w:p>
      <w:pPr>
        <w:spacing w:after="0" w:line="116"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rFonts w:ascii="Arial" w:cs="Arial" w:eastAsia="Arial" w:hAnsi="Arial"/>
          <w:sz w:val="14"/>
          <w:szCs w:val="14"/>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 revenue upon the transfer of promised goods to our customers in an amount that reflects the consideration to which we expect to be entitled by applying the following five-step process specified in the Financial Accounting Standards Board Accounting Standards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w:t>
      </w:r>
    </w:p>
    <w:p>
      <w:pPr>
        <w:spacing w:after="0" w:line="73" w:lineRule="exact"/>
        <w:rPr>
          <w:rFonts w:ascii="Arial" w:cs="Arial" w:eastAsia="Arial" w:hAnsi="Arial"/>
          <w:sz w:val="14"/>
          <w:szCs w:val="14"/>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Allocate the transaction price</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w:t>
      </w:r>
    </w:p>
    <w:p>
      <w:pPr>
        <w:spacing w:after="0" w:line="103" w:lineRule="exact"/>
        <w:rPr>
          <w:rFonts w:ascii="Arial" w:cs="Arial" w:eastAsia="Arial" w:hAnsi="Arial"/>
          <w:sz w:val="14"/>
          <w:szCs w:val="14"/>
          <w:color w:val="auto"/>
        </w:rPr>
      </w:pPr>
    </w:p>
    <w:p>
      <w:pPr>
        <w:ind w:firstLine="405"/>
        <w:spacing w:after="0" w:line="277" w:lineRule="auto"/>
        <w:rPr>
          <w:sz w:val="20"/>
          <w:szCs w:val="20"/>
          <w:color w:val="auto"/>
        </w:rPr>
      </w:pPr>
      <w:r>
        <w:rPr>
          <w:rFonts w:ascii="Arial" w:cs="Arial" w:eastAsia="Arial" w:hAnsi="Arial"/>
          <w:sz w:val="18"/>
          <w:szCs w:val="18"/>
          <w:color w:val="auto"/>
        </w:rPr>
        <w:t>Our contracts with customers include a single performance obligation to transfer a completed home to the customer. We generally determine selling price per home on the expected cost plus margin. Our contracts contain no significant financing terms</w:t>
      </w:r>
    </w:p>
    <w:p>
      <w:pPr>
        <w:spacing w:after="0" w:line="170"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customers who finance do so through a third party. Performance obligations are satisfied at a moment in time when the home is complete and control of the asset is transferred to the customer at closing. Home sales proceeds are generally received from the title company within a few business days after closing.</w:t>
      </w:r>
    </w:p>
    <w:p>
      <w:pPr>
        <w:spacing w:after="0" w:line="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Sales and broker commissions are incremental costs incurred to obtain a contract with a customer that would not have been incurred if the contract had not been obtained. Sales and broker commissions are expensed upon fulfillment of a home closing. Advertising costs are costs to obtain a contract that would have been incurred regardless of whether the contract was obtained and are recognized as an expense when incurred. Sales and broker commissions and advertising costs are recorded within sales and marketing expense presented in our consolidated statements of operations as selling expenses.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Inventory and Cost of Home Sales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Inventory consists of land, land under development, finished lots, information centers, homes in progress and completed homes. Inventory is stated at cost unless the carrying amount is determined not to be recoverable, in which case inventory is written down to fair value.</w:t>
      </w:r>
    </w:p>
    <w:p>
      <w:pPr>
        <w:spacing w:after="0" w:line="6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Pre-acquisition costs, land, development and other project costs, including interest and property taxes, incurred during development and home construction, and net of expected reimbursements of development costs, are capitalized to real estate inventory. Pre-acquisition costs, land development and other common costs that benefit the entire community, including field construction supervision and related direct overhead, are allocated to individual lots or homes, as appropriate, on a pro rata basis which we believe approximates the costs that would be determined using an allocation method based on relative sales values since the individual lots or homes within a community are similar in value.</w:t>
      </w:r>
    </w:p>
    <w:p>
      <w:pPr>
        <w:spacing w:after="0" w:line="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Changes to estimated total development costs subsequent to initial home closings in a community are allocated to the remaining unsold homes in the community on a prospective basis. Home construction costs and related carrying charges are allocated to the cost of individual homes using the specific identification method and are capitalized as they are incurred. Capitalized interest, property taxes, and other carrying costs are generally capitalized to real estate inventory from the point development begins to the point construction is completed. Costs associated with homes closed are charged to cost of sales simultaneously with revenue recognition.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Real Estate Inventories.</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In accordance with Accounting Standards Codification Topic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real estate inventory is evaluated for indicators of impairment by each community during each reporting period. In conducting our review for indicators of impairment on a community level, we evaluate, among other things, the margins on homes that have been closed, communities with slow moving inventory, projected margins on future home sales over the life of the community, and the estimated fair value of the land. We pay particular attention to communities in which inventory is moving at a slower than anticipated absorption pace and communities whose average sales prices and/or margins are trending downward and are anticipated to continue to trend downward. Due largely to the relatively short development and construction periods for our communities and our growth, we have not experienced circumstances during 2019, 2018 or 2017 that are indicators of impairment. Our future sales and margins may be impacted by our inability to realize continued growth, increased cost associated with holding and developing land, local economic factors, pressure on home sales prices, increased carrying costs, and insufficient access to labor and materials at reasonable costs. For individual communities with indicators of impairment, we perform additional analysis to estimate the community’s undiscounted future cash flows. If the estimated undiscounted future cash flows are greater than the carrying value of the asset, no impairment adjustment is required. If the undiscounted cash flows are less than the asset’s carrying value, the asset is impaired and is written down to its fair value. We estimate the fair value of communities using a discounted cash flow model; changes to the expected cash flows may lead to changes in the outcome of our impairment analysis.</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life cycle of a community generally ranges from two to five years, commencing with the acquisition of land, continuing through the land development phase, and concluding with the construction, sale, and delivery of homes. A constructed home is used as the community information center during the life of the community and then sold. Actual individual community lives will vary based on the size of the community, the sales absorption rate, whether we purchased the property as raw land or finished lots, and the timing and phasing of development on larger projects.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land and land under development</w:t>
      </w:r>
      <w:r>
        <w:rPr>
          <w:rFonts w:ascii="Arial" w:cs="Arial" w:eastAsia="Arial" w:hAnsi="Arial"/>
          <w:sz w:val="18"/>
          <w:szCs w:val="18"/>
          <w:color w:val="auto"/>
        </w:rPr>
        <w:t>.</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raw land, land under development and completed lots that our management anticipates will be utilized for future homebuilding activities or to be sold as finished lots to individuals, the recoverability of assets is measured by comparing the carrying amount of the assets to future undiscounted cash flows expected to be generated by the assets based on home or lot sales, consistent with the evaluation of operating communities discussed above. As of December 31, 2019, we had not identified any raw land, land under development or completed lots that management intends to market for sale in bulk to a third-party.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Pre-acquisition costs and controlled lots not owned</w:t>
      </w:r>
      <w:r>
        <w:rPr>
          <w:rFonts w:ascii="Arial" w:cs="Arial" w:eastAsia="Arial" w:hAnsi="Arial"/>
          <w:sz w:val="18"/>
          <w:szCs w:val="18"/>
          <w:color w:val="auto"/>
        </w:rPr>
        <w:t>.</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enter into land purchase agreements in the ordinary course of business in order to secure land for the construction of homes in the future. Pursuant to these agreements, we typically provide a deposit to the seller as consideration for the right to purchase land at different times in the future, usually at predetermined prices. We do not have title to the property and our obligations with respect to the contracts are generally limited to the forfeiture of the related nonrefundable cash deposits.</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the extent that any deposits are nonrefundable and the associated land acquisition process is terminated or no longer determined probable, the deposit and any related pre-acquisition costs (e.g. due diligence costs) are charged to other income, net. We review the likelihood of the acquisition of contracted lots in conjunction with our periodic real estate impairment analysis.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Reserves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typically provide homebuyers with a one-year warranty on the house and a ten-year limited warranty for major defects in structural elements.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direct warranty costs are accrued and charged to cost of sales in connection with our home sales.</w:t>
      </w:r>
    </w:p>
    <w:p>
      <w:pPr>
        <w:spacing w:after="0" w:line="10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warranty liability is based upon historical warranty cost experience on a per house basis established based on (i) trends in historical warranty payment levels, (ii) the historical range of amounts paid per house, (iii) any warranty expenditures not considered to be normal and recurring, and is adjusted as appropriate to reflect qualitative risks associated with the types of homes built, the geographic areas in which they are built, and potential impacts of our expansion. Our analysis also considers improvements in quality control and construction techniques expected to impact future warranty expenditures and the expertise of our personnel. Our warranty reserves are reviewed quarterly to assess the reasonableness and adequacy and we make adjustments to the balance of the pre-existing reserves, as needed, to reflect changes in trends and historical data as information becomes available.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record goodwill associated with our acquisitions of businesses when the consideration paid exceeds the fair value of the net tangible and identifiable intangible assets acquired. We evaluate our goodwill balances for potential impairment on an annual basis. In applying the goodwill impairment test, we have the option to perform a qualitative test (also known as “Step 0”) or a two-step quantitative test (consisting of “Step 1” and “Step 2”). Under the Step 0 test, we first assess qualitative factors to determine whether it is more likely than not that the fair value of the reporting units is less than their carrying value. Qualitative factors may include, but are not limited to economic conditions, industry and market considerations, cost factors, overall financial performance of the reporting unit and other entity and reporting unit specific events. If after assessing these qualitative factors, the Company determines it is “more-likely-than-not” that the fair value of the reporting unit is less than the carrying value, then performing the two-step quantitative test is necessary. During 2019, 2018 and 2017, we performed a Step 0 analysis and determined that it is not “more likely than not” that the fair values of the reporting units were less than their carrying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utilize the liability method of accounting for income taxes. Under the liability method, deferred tax assets and liabilities are recognized using enacted tax rates for the effect of temporary differences between the book and tax bases of recorded assets and liabilities, changes in tax rate are recognized in the year of enactment. Deferred tax assets are reduced by a valuation allowance if it is more likely than not that some portion or all of the net deferred tax assets will not be realized. Our ability to realize deferred tax assets is assessed throughout the year and a valuation allowance is established, if required. We recognize the impact of a tax position only if it is more likely than not to be sustained upon examination based on the technical merits of the position. We recognize potential interest and penalties related to uncertain tax positions in income tax expense, as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operations are interest rate sensitive. As overall housing demand is adversely affected by increases in interest rates, a significant increase in mortgage interest rates may negatively affect the ability of homebuyers to secure adequate financing. Higher interest rates could adversely affect our revenues, gross margin, and net income. We do not enter into, or intend to enter into, derivative financial instruments for trading or speculative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Interest Rate Risk</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utilize both fixed-rate debt ($300.0 million aggregate principal amount of the Senior Notes and certain inventory related obligations) and variable-rate debt (our $650.0 million Credit Agreement) as part of financing our operations. We do not have the obligation to prepay the Senior Notes or our fixed-rate inventory related obligations prior to maturity, and, as a result, interest rate risk and changes in fair market value should not have a significant impact on our fixed-rate debt.</w:t>
      </w:r>
    </w:p>
    <w:p>
      <w:pPr>
        <w:spacing w:after="0" w:line="79" w:lineRule="exact"/>
        <w:rPr>
          <w:sz w:val="20"/>
          <w:szCs w:val="20"/>
          <w:color w:val="auto"/>
        </w:rPr>
      </w:pPr>
    </w:p>
    <w:p>
      <w:pPr>
        <w:jc w:val="both"/>
        <w:ind w:firstLine="405"/>
        <w:spacing w:after="0" w:line="257" w:lineRule="auto"/>
        <w:rPr>
          <w:rFonts w:ascii="Arial" w:cs="Arial" w:eastAsia="Arial" w:hAnsi="Arial"/>
          <w:sz w:val="18"/>
          <w:szCs w:val="18"/>
          <w:color w:val="0000EE"/>
        </w:rPr>
      </w:pPr>
      <w:r>
        <w:rPr>
          <w:rFonts w:ascii="Arial" w:cs="Arial" w:eastAsia="Arial" w:hAnsi="Arial"/>
          <w:sz w:val="18"/>
          <w:szCs w:val="18"/>
          <w:color w:val="auto"/>
        </w:rPr>
        <w:t xml:space="preserve">We are exposed to market risks related to fluctuations in interest rates on our outstanding variable rate indebtedness. We did not utilize swaps, forward or option contracts on interest rates or commodities, or other types of derivative financial instruments as of or during the year ended December 31, 2019. We have not entered into and currently do not hold derivatives for trading or speculative purposes, but we may do so in the future. Many of the statements </w:t>
      </w:r>
      <w:hyperlink w:anchor="page12">
        <w:r>
          <w:rPr>
            <w:rFonts w:ascii="Arial" w:cs="Arial" w:eastAsia="Arial" w:hAnsi="Arial"/>
            <w:sz w:val="18"/>
            <w:szCs w:val="18"/>
            <w:color w:val="auto"/>
          </w:rPr>
          <w:t>contained in this section are forward looking and should be read in conjunction with our disclosures under the heading “</w:t>
        </w:r>
        <w:r>
          <w:rPr>
            <w:rFonts w:ascii="Arial" w:cs="Arial" w:eastAsia="Arial" w:hAnsi="Arial"/>
            <w:sz w:val="18"/>
            <w:szCs w:val="18"/>
            <w:u w:val="single" w:color="auto"/>
            <w:color w:val="0000EE"/>
          </w:rPr>
          <w:t>Cautionary Statement about Forward-</w:t>
        </w:r>
      </w:hyperlink>
      <w:hyperlink w:anchor="page12">
        <w:r>
          <w:rPr>
            <w:rFonts w:ascii="Arial" w:cs="Arial" w:eastAsia="Arial" w:hAnsi="Arial"/>
            <w:sz w:val="18"/>
            <w:szCs w:val="18"/>
            <w:u w:val="single" w:color="auto"/>
            <w:color w:val="0000EE"/>
          </w:rPr>
          <w:t>Looking Statements</w:t>
        </w:r>
        <w:r>
          <w:rPr>
            <w:rFonts w:ascii="Arial" w:cs="Arial" w:eastAsia="Arial" w:hAnsi="Arial"/>
            <w:sz w:val="18"/>
            <w:szCs w:val="18"/>
            <w:color w:val="000000"/>
          </w:rPr>
          <w:t>” in</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Item 1A. Risk Factors</w:t>
        </w:r>
        <w:r>
          <w:rPr>
            <w:rFonts w:ascii="Arial" w:cs="Arial" w:eastAsia="Arial" w:hAnsi="Arial"/>
            <w:sz w:val="18"/>
            <w:szCs w:val="18"/>
            <w:color w:val="000000"/>
          </w:rPr>
          <w:t>.</w:t>
        </w:r>
      </w:hyperlink>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2019, we had $399.6 million of variable rate indebtedness outstanding under the Credit Agreement. All of the outstanding borrowings under the Credit Agreement are at variable rates based on LIBOR. The interest rate for our variable rate indebtedness as of December 31, 2019 was LIBOR plus 2.50%. At December 31, 2019, LIBOR was 1.75%. A hypothetical 100 basis point increase in the average interest rate on our variable rate indebtedness would increase our annual interest cost by approximately $4.0 million.</w:t>
      </w:r>
    </w:p>
    <w:p>
      <w:pPr>
        <w:spacing w:after="0" w:line="79"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Based on the current interest rate management policies we have in place with respect to our outstanding indebtedness, we do not believe that the future interest rate risks related to our existing indebtedness will have a material adverse impact on our financial position, results of operations, or liquidity.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55" w:lineRule="exact"/>
        <w:rPr>
          <w:sz w:val="20"/>
          <w:szCs w:val="20"/>
          <w:color w:val="auto"/>
        </w:rPr>
      </w:pPr>
    </w:p>
    <w:p>
      <w:pPr>
        <w:ind w:right="2620" w:firstLine="2624"/>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LGI Homes, Inc.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0"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We have audited the accompanying consolidated balance sheets of LGI Homes, Inc. (the Company) as of December 31, 2019 and 2018, the related consolidated statements of operations,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7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issued by the Committee of Sponsoring Organizations of the Treadway Commission (2013 Framework), and our report dated February 25, 2020 expressed an unqualified opinion thereon.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0"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right="8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line="31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development costs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the Company’s cost of sales was approximately $1.4 billion, which includes construction costs of each closed home and allocable land acquisition and land development costs, capitalized interest, and other related costs. As discussed in Note 2 to the consolidated financial statements, land development costs that are not specifically identifiable to a home are allocated on a pro rata basis. At the time of home closings, land development activities are not yet finalized. To recognize the appropriate amount of cost of sales, the Company estimates the total remaining development costs. Estimates are affected by changes to the land development project’s schedule; the cost of labor, material, and subcontractors; and potential cost reimbursements from various municipalities.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Auditing the Company's land development cost measurement and allocation to unsold lots and homes was complex and subjective due to the significant estimation required to determine the costs to complete land development. Specifically, the land development cost estimate is sensitive to significant management assumptions, including the project’s schedule, estimated cost of labor and potential reimbursements.</w:t>
      </w:r>
    </w:p>
    <w:p>
      <w:pPr>
        <w:spacing w:after="0" w:line="200" w:lineRule="exact"/>
        <w:rPr>
          <w:sz w:val="20"/>
          <w:szCs w:val="20"/>
          <w:color w:val="auto"/>
        </w:rPr>
      </w:pPr>
    </w:p>
    <w:p>
      <w:pPr>
        <w:spacing w:after="0" w:line="3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obtained an understanding and tested the design and operating effectiveness of the Company's process and controls over its land development cost measurement and allocation to unsold lots and homes, including controls over management's review of the estimated costs to complete.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To test the Company's land development cost measurement and allocation to unsold lots and homes, our audit procedures included, among others, testing the significant assumptions used to develop the estimated costs to complete of the land development budgets and testing the completeness and accuracy of the underlying data and allocation calculation. For example, we compared the estimated land development costs to actual costs of similar communities developed by the Company; agreed the estimated development costs and cost reimbursements to supporting documentation, including underlying contracts; and performed observational procedures to understand the completeness of development activities included in the budgets. In addition, we performed lookback analyses to historical actual costs to assess management’s ability to estimate and </w:t>
      </w:r>
      <w:r>
        <w:rPr>
          <w:rFonts w:ascii="Arial" w:cs="Arial" w:eastAsia="Arial" w:hAnsi="Arial"/>
          <w:sz w:val="17"/>
          <w:szCs w:val="17"/>
          <w:color w:val="24282D"/>
        </w:rPr>
        <w:t>performed sensitivity</w:t>
      </w:r>
      <w:r>
        <w:rPr>
          <w:rFonts w:ascii="Arial" w:cs="Arial" w:eastAsia="Arial" w:hAnsi="Arial"/>
          <w:sz w:val="17"/>
          <w:szCs w:val="17"/>
          <w:color w:val="auto"/>
        </w:rPr>
        <w:t xml:space="preserve"> </w:t>
      </w:r>
      <w:r>
        <w:rPr>
          <w:rFonts w:ascii="Arial" w:cs="Arial" w:eastAsia="Arial" w:hAnsi="Arial"/>
          <w:sz w:val="17"/>
          <w:szCs w:val="17"/>
          <w:color w:val="24282D"/>
        </w:rPr>
        <w:t>analyses of the significant assumptions to evaluate the changes in total costs of land development that would result from changes in these assumptions.</w:t>
      </w:r>
    </w:p>
    <w:p>
      <w:pPr>
        <w:spacing w:after="0" w:line="200" w:lineRule="exact"/>
        <w:rPr>
          <w:sz w:val="20"/>
          <w:szCs w:val="20"/>
          <w:color w:val="auto"/>
        </w:rPr>
      </w:pPr>
    </w:p>
    <w:p>
      <w:pPr>
        <w:sectPr>
          <w:pgSz w:w="11900" w:h="16838" w:orient="portrait"/>
          <w:cols w:equalWidth="0" w:num="2">
            <w:col w:w="1420" w:space="560"/>
            <w:col w:w="942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1" w:right="25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7"/>
        </w:trPr>
        <w:tc>
          <w:tcPr>
            <w:tcW w:w="1360" w:type="dxa"/>
            <w:vAlign w:val="bottom"/>
            <w:tcBorders>
              <w:top w:val="single" w:sz="8" w:color="0000EE"/>
            </w:tcBorders>
          </w:tcPr>
          <w:p>
            <w:pPr>
              <w:spacing w:after="0"/>
              <w:rPr>
                <w:sz w:val="24"/>
                <w:szCs w:val="24"/>
                <w:color w:val="auto"/>
              </w:rPr>
            </w:pPr>
          </w:p>
        </w:tc>
        <w:tc>
          <w:tcPr>
            <w:tcW w:w="6300" w:type="dxa"/>
            <w:vAlign w:val="bottom"/>
          </w:tcPr>
          <w:p>
            <w:pPr>
              <w:jc w:val="center"/>
              <w:ind w:left="2310"/>
              <w:spacing w:after="0"/>
              <w:rPr>
                <w:sz w:val="20"/>
                <w:szCs w:val="20"/>
                <w:color w:val="auto"/>
              </w:rPr>
            </w:pPr>
            <w:r>
              <w:rPr>
                <w:rFonts w:ascii="Arial" w:cs="Arial" w:eastAsia="Arial" w:hAnsi="Arial"/>
                <w:sz w:val="18"/>
                <w:szCs w:val="18"/>
                <w:b w:val="1"/>
                <w:bCs w:val="1"/>
                <w:color w:val="auto"/>
              </w:rPr>
              <w:t>LGI HOMES, INC.</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30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630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 except share data)</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3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38,345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46,624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56,390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42,836</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Real estate inventory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1,499,624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1,228,256</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Pre-acquisition costs and deposits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37,244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45,752</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16,241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12,018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1,666,115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1,395,473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3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12,495</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76,555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Notes payable</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690,559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653,734</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820,922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739,530</w:t>
            </w: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Common stock, par value $0.01, 250,000,000 shares authorized, 26,398,409 shares issued and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8"/>
              </w:rPr>
              <w:t>25,359,409 shares outstanding as of December 31, 2019 and 23,746,385 shares issued and</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22,707,385 shares outstanding as of December 31, 2018</w:t>
            </w: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252,603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241,988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610,382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431,774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Treasury stock, at cost 1,039,000 shares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(18,056)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(18,056)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845,193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655,943</w:t>
            </w:r>
          </w:p>
        </w:tc>
        <w:tc>
          <w:tcPr>
            <w:tcW w:w="0" w:type="dxa"/>
            <w:vAlign w:val="bottom"/>
          </w:tcPr>
          <w:p>
            <w:pPr>
              <w:spacing w:after="0"/>
              <w:rPr>
                <w:sz w:val="1"/>
                <w:szCs w:val="1"/>
                <w:color w:val="auto"/>
              </w:rPr>
            </w:pPr>
          </w:p>
        </w:tc>
      </w:tr>
      <w:tr>
        <w:trPr>
          <w:trHeight w:val="257"/>
        </w:trPr>
        <w:tc>
          <w:tcPr>
            <w:tcW w:w="7660" w:type="dxa"/>
            <w:vAlign w:val="bottom"/>
            <w:gridSpan w:val="2"/>
          </w:tcPr>
          <w:p>
            <w:pPr>
              <w:ind w:left="720"/>
              <w:spacing w:after="0"/>
              <w:rPr>
                <w:sz w:val="20"/>
                <w:szCs w:val="20"/>
                <w:color w:val="auto"/>
              </w:rPr>
            </w:pPr>
            <w:r>
              <w:rPr>
                <w:rFonts w:ascii="Arial" w:cs="Arial" w:eastAsia="Arial" w:hAnsi="Arial"/>
                <w:sz w:val="18"/>
                <w:szCs w:val="18"/>
                <w:color w:val="auto"/>
              </w:rPr>
              <w:t>Total liabilities and equity</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1,666,115</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1,395,473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36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4240" w:type="dxa"/>
            <w:vAlign w:val="bottom"/>
            <w:gridSpan w:val="4"/>
          </w:tcPr>
          <w:p>
            <w:pPr>
              <w:ind w:left="1780"/>
              <w:spacing w:after="0"/>
              <w:rPr>
                <w:sz w:val="20"/>
                <w:szCs w:val="20"/>
                <w:color w:val="auto"/>
              </w:rPr>
            </w:pPr>
            <w:r>
              <w:rPr>
                <w:rFonts w:ascii="Arial" w:cs="Arial" w:eastAsia="Arial" w:hAnsi="Arial"/>
                <w:sz w:val="18"/>
                <w:szCs w:val="18"/>
                <w:b w:val="1"/>
                <w:bCs w:val="1"/>
                <w:color w:val="auto"/>
              </w:rPr>
              <w:t>LGI HOMES, INC.</w:t>
            </w: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CONSOLIDATED STATEMENTS OF OPERATIONS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84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6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For the Year Ended December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Home sales revenues</w:t>
            </w:r>
          </w:p>
        </w:tc>
        <w:tc>
          <w:tcPr>
            <w:tcW w:w="2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1,838,154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1,504,400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1,257,960</w:t>
            </w:r>
          </w:p>
        </w:tc>
        <w:tc>
          <w:tcPr>
            <w:tcW w:w="0" w:type="dxa"/>
            <w:vAlign w:val="bottom"/>
          </w:tcPr>
          <w:p>
            <w:pPr>
              <w:spacing w:after="0"/>
              <w:rPr>
                <w:sz w:val="1"/>
                <w:szCs w:val="1"/>
                <w:color w:val="auto"/>
              </w:rPr>
            </w:pPr>
          </w:p>
        </w:tc>
      </w:tr>
      <w:tr>
        <w:trPr>
          <w:trHeight w:val="318"/>
        </w:trPr>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1,401,675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1,124,484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937,540</w:t>
            </w:r>
          </w:p>
        </w:tc>
        <w:tc>
          <w:tcPr>
            <w:tcW w:w="0" w:type="dxa"/>
            <w:vAlign w:val="bottom"/>
          </w:tcPr>
          <w:p>
            <w:pPr>
              <w:spacing w:after="0"/>
              <w:rPr>
                <w:sz w:val="1"/>
                <w:szCs w:val="1"/>
                <w:color w:val="auto"/>
              </w:rPr>
            </w:pPr>
          </w:p>
        </w:tc>
      </w:tr>
      <w:tr>
        <w:trPr>
          <w:trHeight w:val="243"/>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Selling expenses</w:t>
            </w:r>
          </w:p>
        </w:tc>
        <w:tc>
          <w:tcPr>
            <w:tcW w:w="2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131,561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109,460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94,957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77,380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70,345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55,662</w:t>
            </w:r>
          </w:p>
        </w:tc>
        <w:tc>
          <w:tcPr>
            <w:tcW w:w="0" w:type="dxa"/>
            <w:vAlign w:val="bottom"/>
          </w:tcPr>
          <w:p>
            <w:pPr>
              <w:spacing w:after="0"/>
              <w:rPr>
                <w:sz w:val="1"/>
                <w:szCs w:val="1"/>
                <w:color w:val="auto"/>
              </w:rPr>
            </w:pPr>
          </w:p>
        </w:tc>
      </w:tr>
      <w:tr>
        <w:trPr>
          <w:trHeight w:val="237"/>
        </w:trPr>
        <w:tc>
          <w:tcPr>
            <w:tcW w:w="3180" w:type="dxa"/>
            <w:vAlign w:val="bottom"/>
            <w:gridSpan w:val="2"/>
          </w:tcPr>
          <w:p>
            <w:pPr>
              <w:ind w:left="840"/>
              <w:spacing w:after="0"/>
              <w:rPr>
                <w:sz w:val="20"/>
                <w:szCs w:val="20"/>
                <w:color w:val="auto"/>
              </w:rPr>
            </w:pPr>
            <w:r>
              <w:rPr>
                <w:rFonts w:ascii="Arial" w:cs="Arial" w:eastAsia="Arial" w:hAnsi="Arial"/>
                <w:sz w:val="18"/>
                <w:szCs w:val="18"/>
                <w:color w:val="auto"/>
              </w:rPr>
              <w:t>Operating income</w:t>
            </w:r>
          </w:p>
        </w:tc>
        <w:tc>
          <w:tcPr>
            <w:tcW w:w="21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227,538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200,111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169,801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Loss on extinguishment of debt</w:t>
            </w:r>
          </w:p>
        </w:tc>
        <w:tc>
          <w:tcPr>
            <w:tcW w:w="2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2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before income taxes</w:t>
            </w:r>
          </w:p>
        </w:tc>
        <w:tc>
          <w:tcPr>
            <w:tcW w:w="2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231,832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171,402</w:t>
            </w:r>
          </w:p>
        </w:tc>
        <w:tc>
          <w:tcPr>
            <w:tcW w:w="0" w:type="dxa"/>
            <w:vAlign w:val="bottom"/>
          </w:tcPr>
          <w:p>
            <w:pPr>
              <w:spacing w:after="0"/>
              <w:rPr>
                <w:sz w:val="1"/>
                <w:szCs w:val="1"/>
                <w:color w:val="auto"/>
              </w:rPr>
            </w:pPr>
          </w:p>
        </w:tc>
      </w:tr>
      <w:tr>
        <w:trPr>
          <w:trHeight w:val="243"/>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53,224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43,812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58,096</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178,608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155,286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113,306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w:t>
            </w:r>
          </w:p>
        </w:tc>
        <w:tc>
          <w:tcPr>
            <w:tcW w:w="2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8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31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6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w:t>
            </w:r>
          </w:p>
        </w:tc>
        <w:tc>
          <w:tcPr>
            <w:tcW w:w="2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23,191,595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22,551,762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21,604,932</w:t>
            </w:r>
          </w:p>
        </w:tc>
        <w:tc>
          <w:tcPr>
            <w:tcW w:w="0" w:type="dxa"/>
            <w:vAlign w:val="bottom"/>
          </w:tcPr>
          <w:p>
            <w:pPr>
              <w:spacing w:after="0"/>
              <w:rPr>
                <w:sz w:val="1"/>
                <w:szCs w:val="1"/>
                <w:color w:val="auto"/>
              </w:rPr>
            </w:pPr>
          </w:p>
        </w:tc>
      </w:tr>
      <w:tr>
        <w:trPr>
          <w:trHeight w:val="243"/>
        </w:trPr>
        <w:tc>
          <w:tcPr>
            <w:tcW w:w="31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25,430,841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24,892,274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23,933,122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08"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LGI HOMES,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200" w:type="dxa"/>
            <w:vAlign w:val="bottom"/>
          </w:tcPr>
          <w:p>
            <w:pPr>
              <w:spacing w:after="0"/>
              <w:rPr>
                <w:sz w:val="16"/>
                <w:szCs w:val="16"/>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tcPr>
          <w:p>
            <w:pPr>
              <w:spacing w:after="0"/>
              <w:rPr>
                <w:sz w:val="6"/>
                <w:szCs w:val="6"/>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6"/>
                <w:szCs w:val="6"/>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6"/>
                <w:szCs w:val="6"/>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 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BALANCE—December 31, 2016</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22,311,310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208,346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163,182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355,201</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113,306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113,306</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shares, net of offering costs</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354,620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15,342</w:t>
            </w:r>
          </w:p>
        </w:tc>
        <w:tc>
          <w:tcPr>
            <w:tcW w:w="0" w:type="dxa"/>
            <w:vAlign w:val="bottom"/>
          </w:tcPr>
          <w:p>
            <w:pPr>
              <w:spacing w:after="0"/>
              <w:rPr>
                <w:sz w:val="1"/>
                <w:szCs w:val="1"/>
                <w:color w:val="auto"/>
              </w:rPr>
            </w:pPr>
          </w:p>
        </w:tc>
      </w:tr>
      <w:tr>
        <w:trPr>
          <w:trHeight w:val="220"/>
        </w:trPr>
        <w:tc>
          <w:tcPr>
            <w:tcW w:w="4000" w:type="dxa"/>
            <w:vAlign w:val="bottom"/>
          </w:tcPr>
          <w:p>
            <w:pPr>
              <w:ind w:left="200"/>
              <w:spacing w:after="0"/>
              <w:rPr>
                <w:sz w:val="20"/>
                <w:szCs w:val="20"/>
                <w:color w:val="auto"/>
              </w:rPr>
            </w:pPr>
            <w:r>
              <w:rPr>
                <w:rFonts w:ascii="Arial" w:cs="Arial" w:eastAsia="Arial" w:hAnsi="Arial"/>
                <w:sz w:val="16"/>
                <w:szCs w:val="16"/>
                <w:color w:val="auto"/>
                <w:w w:val="92"/>
              </w:rPr>
              <w:t>Issuance of restricted stock units in settlement of accrued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60"/>
              <w:spacing w:after="0"/>
              <w:rPr>
                <w:sz w:val="20"/>
                <w:szCs w:val="20"/>
                <w:color w:val="auto"/>
              </w:rPr>
            </w:pPr>
            <w:r>
              <w:rPr>
                <w:rFonts w:ascii="Arial" w:cs="Arial" w:eastAsia="Arial" w:hAnsi="Arial"/>
                <w:sz w:val="16"/>
                <w:szCs w:val="16"/>
                <w:color w:val="auto"/>
              </w:rPr>
              <w:t>bonuses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expense for equity awards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4,188</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6"/>
                <w:szCs w:val="16"/>
                <w:color w:val="auto"/>
              </w:rPr>
              <w:t>Stock issued under employee incentive plans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179,650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BALANCE—December 31, 2017</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22,845,580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229,680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276,488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489,846</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155,286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155,286</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Issuance of shares in settlement of Convertible Notes</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486,679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6"/>
                <w:szCs w:val="16"/>
                <w:color w:val="auto"/>
              </w:rPr>
              <w:t>Issuance of shares, Wynn Homes Acquisition</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70,746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shares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220"/>
        </w:trPr>
        <w:tc>
          <w:tcPr>
            <w:tcW w:w="4000" w:type="dxa"/>
            <w:vAlign w:val="bottom"/>
          </w:tcPr>
          <w:p>
            <w:pPr>
              <w:ind w:left="200"/>
              <w:spacing w:after="0"/>
              <w:rPr>
                <w:sz w:val="20"/>
                <w:szCs w:val="20"/>
                <w:color w:val="auto"/>
              </w:rPr>
            </w:pPr>
            <w:r>
              <w:rPr>
                <w:rFonts w:ascii="Arial" w:cs="Arial" w:eastAsia="Arial" w:hAnsi="Arial"/>
                <w:sz w:val="16"/>
                <w:szCs w:val="16"/>
                <w:color w:val="auto"/>
                <w:w w:val="92"/>
              </w:rPr>
              <w:t>Issuance of restricted stock units in settlement of accrued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60"/>
              <w:spacing w:after="0"/>
              <w:rPr>
                <w:sz w:val="20"/>
                <w:szCs w:val="20"/>
                <w:color w:val="auto"/>
              </w:rPr>
            </w:pPr>
            <w:r>
              <w:rPr>
                <w:rFonts w:ascii="Arial" w:cs="Arial" w:eastAsia="Arial" w:hAnsi="Arial"/>
                <w:sz w:val="16"/>
                <w:szCs w:val="16"/>
                <w:color w:val="auto"/>
              </w:rPr>
              <w:t>bonuses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expense for equity awards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5,923</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6"/>
                <w:szCs w:val="16"/>
                <w:color w:val="auto"/>
              </w:rPr>
              <w:t>Stock issued under employee incentive plans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343,380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2,690</w:t>
            </w:r>
          </w:p>
        </w:tc>
        <w:tc>
          <w:tcPr>
            <w:tcW w:w="0" w:type="dxa"/>
            <w:vAlign w:val="bottom"/>
          </w:tcPr>
          <w:p>
            <w:pPr>
              <w:spacing w:after="0"/>
              <w:rPr>
                <w:sz w:val="1"/>
                <w:szCs w:val="1"/>
                <w:color w:val="auto"/>
              </w:rPr>
            </w:pP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BALANCE—December 31, 2018</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23,746,385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241,988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431,774</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655,943</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178,608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178,608</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Issuance of shares in settlement of Convertible Notes</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2,381,751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200"/>
              <w:spacing w:after="0"/>
              <w:rPr>
                <w:sz w:val="20"/>
                <w:szCs w:val="20"/>
                <w:color w:val="auto"/>
              </w:rPr>
            </w:pPr>
            <w:r>
              <w:rPr>
                <w:rFonts w:ascii="Arial" w:cs="Arial" w:eastAsia="Arial" w:hAnsi="Arial"/>
                <w:sz w:val="16"/>
                <w:szCs w:val="16"/>
                <w:color w:val="auto"/>
                <w:w w:val="92"/>
              </w:rPr>
              <w:t>Issuance of restricted stock units in settlement of accrued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360"/>
              <w:spacing w:after="0"/>
              <w:rPr>
                <w:sz w:val="20"/>
                <w:szCs w:val="20"/>
                <w:color w:val="auto"/>
              </w:rPr>
            </w:pPr>
            <w:r>
              <w:rPr>
                <w:rFonts w:ascii="Arial" w:cs="Arial" w:eastAsia="Arial" w:hAnsi="Arial"/>
                <w:sz w:val="16"/>
                <w:szCs w:val="16"/>
                <w:color w:val="auto"/>
              </w:rPr>
              <w:t>bonuses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expense for equity awards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7,539</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6"/>
                <w:szCs w:val="16"/>
                <w:color w:val="auto"/>
              </w:rPr>
              <w:t>Stock issued under employee incentive plans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270,273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2,886</w:t>
            </w:r>
          </w:p>
        </w:tc>
        <w:tc>
          <w:tcPr>
            <w:tcW w:w="0" w:type="dxa"/>
            <w:vAlign w:val="bottom"/>
          </w:tcPr>
          <w:p>
            <w:pPr>
              <w:spacing w:after="0"/>
              <w:rPr>
                <w:sz w:val="1"/>
                <w:szCs w:val="1"/>
                <w:color w:val="auto"/>
              </w:rPr>
            </w:pPr>
          </w:p>
        </w:tc>
      </w:tr>
      <w:tr>
        <w:trPr>
          <w:trHeight w:val="237"/>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BALANCE—December 31, 2019</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26,398,409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252,603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610,382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845,193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50"/>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308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auto"/>
              </w:rPr>
              <w:t>LGI HOMES, INC.</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740" w:type="dxa"/>
            <w:vAlign w:val="bottom"/>
            <w:gridSpan w:val="6"/>
          </w:tcPr>
          <w:p>
            <w:pPr>
              <w:jc w:val="center"/>
              <w:ind w:left="18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78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90"/>
              </w:rPr>
              <w:t>(In thousands)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For the Year Ended December 31,</w:t>
            </w:r>
          </w:p>
        </w:tc>
        <w:tc>
          <w:tcPr>
            <w:tcW w:w="13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178,608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155,286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113,306</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791</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380"/>
              <w:spacing w:after="0"/>
              <w:rPr>
                <w:sz w:val="20"/>
                <w:szCs w:val="20"/>
                <w:color w:val="auto"/>
              </w:rPr>
            </w:pPr>
            <w:r>
              <w:rPr>
                <w:rFonts w:ascii="Arial" w:cs="Arial" w:eastAsia="Arial" w:hAnsi="Arial"/>
                <w:sz w:val="18"/>
                <w:szCs w:val="18"/>
                <w:color w:val="auto"/>
              </w:rPr>
              <w:t>Loss on disposal of assets</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Compensation expense for equity awards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4,188</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(27,651)</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Real estate inventory</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(200,609)</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700"/>
              <w:spacing w:after="0"/>
              <w:rPr>
                <w:sz w:val="20"/>
                <w:szCs w:val="20"/>
                <w:color w:val="auto"/>
              </w:rPr>
            </w:pPr>
            <w:r>
              <w:rPr>
                <w:rFonts w:ascii="Arial" w:cs="Arial" w:eastAsia="Arial" w:hAnsi="Arial"/>
                <w:sz w:val="18"/>
                <w:szCs w:val="18"/>
                <w:color w:val="auto"/>
              </w:rPr>
              <w:t>Pre-acquisition costs and deposits</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(8,215)</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35,117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60,702</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114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(41,934)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(116,723)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(68,467)</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38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 in unconsolidated entity</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380"/>
              <w:spacing w:after="0"/>
              <w:rPr>
                <w:sz w:val="20"/>
                <w:szCs w:val="20"/>
                <w:color w:val="auto"/>
              </w:rPr>
            </w:pPr>
            <w:r>
              <w:rPr>
                <w:rFonts w:ascii="Arial" w:cs="Arial" w:eastAsia="Arial" w:hAnsi="Arial"/>
                <w:sz w:val="18"/>
                <w:szCs w:val="18"/>
                <w:color w:val="auto"/>
              </w:rPr>
              <w:t>Payment for business acquisition</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(74,463)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notes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309,308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612,717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380"/>
              <w:spacing w:after="0"/>
              <w:rPr>
                <w:sz w:val="20"/>
                <w:szCs w:val="20"/>
                <w:color w:val="auto"/>
              </w:rPr>
            </w:pPr>
            <w:r>
              <w:rPr>
                <w:rFonts w:ascii="Arial" w:cs="Arial" w:eastAsia="Arial" w:hAnsi="Arial"/>
                <w:sz w:val="18"/>
                <w:szCs w:val="18"/>
                <w:color w:val="auto"/>
              </w:rPr>
              <w:t>Payments on notes payable</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(273,762)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(436,238)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Loan issuance costs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380"/>
              <w:spacing w:after="0"/>
              <w:rPr>
                <w:sz w:val="20"/>
                <w:szCs w:val="20"/>
                <w:color w:val="auto"/>
              </w:rPr>
            </w:pPr>
            <w:r>
              <w:rPr>
                <w:rFonts w:ascii="Arial" w:cs="Arial" w:eastAsia="Arial" w:hAnsi="Arial"/>
                <w:sz w:val="18"/>
                <w:szCs w:val="18"/>
                <w:color w:val="auto"/>
                <w:w w:val="98"/>
              </w:rPr>
              <w:t>Proceeds from sale of stock, net of offering expenses</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17,130</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 repurchase</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380"/>
              <w:spacing w:after="0"/>
              <w:rPr>
                <w:sz w:val="20"/>
                <w:szCs w:val="20"/>
                <w:color w:val="auto"/>
              </w:rPr>
            </w:pPr>
            <w:r>
              <w:rPr>
                <w:rFonts w:ascii="Arial" w:cs="Arial" w:eastAsia="Arial" w:hAnsi="Arial"/>
                <w:sz w:val="18"/>
                <w:szCs w:val="18"/>
                <w:color w:val="auto"/>
              </w:rPr>
              <w:t>Payment for offering costs</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 for earnout obligation</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114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35,448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170,714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87,038</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18,053</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46,624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67,571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49,518</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17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38,345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46,624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67,571</w:t>
            </w: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08"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LGI HOMES,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Description of the Business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LGI Homes, Inc., a Delaware corporation (the “Company”, “we,” “us,” or “our”), is headquartered in The Woodlands, Texas. We engage in the design, construction and sale of new homes in markets in Texas, Arizona, Florida, Georgia, New Mexico, Colorado, North Carolina, South Carolina, Washington, Tennessee, Minnesota, Oklahoma, Alabama, California, Oregon, Nevada, West Virginia and Virginia.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9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August 2, 2018, we acquired certain homebuilding assets owned by Crosswind Properties, LLC, Wynn Construction, Inc., Crosswind Development, Inc., Crosswind Investments, Inc. and First Continental Communities, Inc. (collectively, “Wynn Homes”), and assumed certain related liabilities. As a result of the Wynn Homes acquisition, we expanded our North Carolina presence in the Raleigh market, as well as established an immediate presence in the Wilmington market. We acquired approximately 200 homes under construction and more than 4,000 owned and controlled lots. The total purchase price for the Wynn Homes acquisition was approximately $78.5 million, consisting of approximately $74.5 million in cash and $4.0 million in shares of our common stock. The acquisition was accounted for in accordance with Accounting Standards Codification (“ASC”) Topic 805, Business Combinations (“ASC 805”).</w:t>
      </w:r>
    </w:p>
    <w:p>
      <w:pPr>
        <w:spacing w:after="0" w:line="24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consolidated financial statements have been prepared in accordance with U.S. Generally Accepted Accounting Principles (“GAAP”) and include the accounts of the Company and its subsidiaries. All intercompany balances and transactions have been eliminated in consolidation.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and these differences could have a significant impact on the financial statements. The significant accounting estimates include real estate inventory and cost of sales, impairment of real estate inventory and property and equipment, goodwill, warranty reserves, the fair value of the convertible debt, loss contingencies, incentive compensation expense, and income taxes.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Concentration of Credit Risk</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and cash equivalents are defined as cash on hand, demand deposits with financial institutions, and short-term liquid investments with an initial maturity date of less than three months. Our cash in demand deposit accounts may exceed federally insured limits and could be negatively impacted if the underlying financial institutions fail or are subject to other adverse conditions in the financial markets. To date, we have experienced no loss or diminished access to cash in our demand deposit accounts.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Accounts receivable consist primarily of proceeds due from title companies for sales closed prior to period end and are generally collected within a few days from closing.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Inventory</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Inventory consists of land, land under development, finished lots, information centers, homes in progress, and completed homes. Inventory is stated at cost unless the carrying amount is determined not to be recoverable, in which case the affected inventory is written down to fair value.</w:t>
      </w:r>
    </w:p>
    <w:p>
      <w:pPr>
        <w:spacing w:after="0" w:line="3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Land, development and other project costs, including interest and property taxes incurred during development and home construction and net of expected reimbursements of development costs, are capitalized to real estate inventory. Land development and other common costs that benefit the entire community, including field construction supervision and related direct overhead, are allocated to individual lots or homes, as appropriate. The costs of lots are assigned to homes in progress when home construction begins. Home construction costs and related carrying charges are allocated to the cost of individual homes using the specific identification method. Costs that are not specifically identifiable to a home are allocated on a pro rata basis, which we believe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approximates the costs that would be determined using an allocation method based on relative sales values since the individual lots or homes within a community are similar in value. Inventory costs for completed homes are expensed to cost of sales as homes are closed. Changes to estimated total development costs subsequent to initial home closings in a community are generally allocated to the remaining unsold lots and homes in the community on a pro rata basis.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life cycle of a community generally ranges from two to five years, commencing with the acquisition of land, continuing through the land development phase, and concluding with the construction and sale of homes. A constructed home is used as the community information center during the life of the community and then sold. Actual individual community lives will vary based on the size of the community, the sales absorption rate, and whether the property was purchased as raw land or finished lots.</w:t>
      </w:r>
    </w:p>
    <w:p>
      <w:pPr>
        <w:spacing w:after="0" w:line="7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real estate inventory is evaluated for indicators of impairment by each community during each reporting period. In conducting its review for indicators of impairment on a community level, management evaluates, among other things, the margins on homes that have been closed, communities with slow moving inventory, projected margins on future home sales over the life of the community, and the estimated fair value of the land. For individual communities with indicators of impairment, additional analysis is performed to estimate the community’s undiscounted future cash flows. If the estimated undiscounted future cash flows are greater than the carrying value of the community group of assets, no impairment adjustment is required. If the undiscounted cash flows are less than the community’s carrying value, the asset group is impaired and is written down to its fair value. We estimate the fair value of communities using a discounted cash flow model. As of December 31, 2019 and 2018, the real estate inventory is stated at cost; there were no inventory impairment charges recorded during the years ended December 31, 2019, 2018 and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Interest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Interest and other financing costs are capitalized as cost of inventory during community development and home construction activities, in accordance with ASC Topic 835,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and expensed in cost of sales as homes in the community are closed. To the extent the debt exceeds qualified assets, a portion of the interest incurred is expensed.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Pre-Acquisition Costs and Deposits</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Amounts paid for land options, deposits on land purchase contracts, and other pre-acquisition costs are capitalized and classified as deposits to purchase. Upon execution of the purchase, these deposits are applied to the acquisition price of the land and recorded as a cost component of the land in real estate inventory. To the extent that any deposits are nonrefundable and the associated land acquisition process is terminated or no longer determined probable, the deposit and related pre-acquisition costs are charged to general and administrative expenses. Management reviews the likelihood of the acquisition of contracted lots in conjunction with its periodic real estate impairment analysis.</w:t>
      </w:r>
    </w:p>
    <w:p>
      <w:pPr>
        <w:spacing w:after="0" w:line="6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Under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a nonrefundable deposit paid to an entity is deemed to be a variable interest that will absorb some or all of the entity’s expected losses if they occur. Non-refundable land purchase and lot option deposits generally represent our maximum exposure if we elect not to purchase the optioned property. In some instances, we may also expend funds for due diligence, development and construction activities with respect to optioned land prior to close. Such costs are classified as preacquisition costs, which we would have to absorb should the option not be exercised. Therefore, whenever we enter into a land option or purchase contract with an entity and make a nonrefundable deposit, we may have a variable interest in a variable interest entity (“VIE”). In accordance with ASC 810, we perform ongoing reassessments of whether we are the primary beneficiary of a VIE and would consolidate the VIE if we are deemed to be the primary beneficiary. As of December 31, 2019 and 2018, we were not deemed to be the primary beneficiary for any VIEs associated with non-refundable land deposits.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Loan Costs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Deferred loan costs represent debt issuance costs related to a recognized debt liability and are presented in the balance sheet as a direct deduction from the carrying amount of that debt liability.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assets consist primarily of prepaid insurance, prepaid expenses, security deposits, and right-of-use (“ROU”) assets. Our prepaid insurance and prepaid expenses were $7.8 million and $12.1 million as of December 31, 2019 and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Property, building, equipment and leasehold improvements are stated at cost, less accumulated depreciation. Depreciation expense is recorded in general and administrative expenses. Upon sale or retirement, the costs and related accumulated depreciation are eliminated from the respective accounts and any resulting gain or loss is included in other income, net. Depreciation is generally computed using the straight-line method over the estimated useful lives of the assets, ranging from two to five years for property and equipment and 30 years for our building. Leasehold improvements are depreciated over the shorter of the asset life or the term of the lease. Maintenance and repair costs are expensed as incurred.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Impairments of long-lived assets are determined periodically when indicators of impairment are present. If such indicators are present, the determination of the amount of impairment is based on judgments as to the future undiscounted operating cash flows to be generated from these assets throughout the remaining estimated useful lives. If these undiscounted cash flows are less than the carrying amount of the related asset, impairment is recognized for the excess of the carrying value over its fair value. There were no impairments of property, equipment and leasehold improvements recorded during the years ended December 31, 2019, 2018 and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Entity</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an investment in a unconsolidated entity with an independent third party. The equity method of accounting is used for unconsolidated entities over which we have significant influence; generally, this represents ownership interests of at least 20% and not more than 50%. Under the equity method of accounting, we recognize our proportionate share of the earnings and losses of this entity. In the event we buy land from this entity we intend to defer the recognition of profits from such activities until the time we ultimately sell the related land.</w:t>
      </w:r>
    </w:p>
    <w:p>
      <w:pPr>
        <w:spacing w:after="0" w:line="7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We evaluate our investment in the unconsolidated entity for recoverability in accordance with ASC Topic 323, </w:t>
      </w:r>
      <w:r>
        <w:rPr>
          <w:rFonts w:ascii="Arial" w:cs="Arial" w:eastAsia="Arial" w:hAnsi="Arial"/>
          <w:sz w:val="16"/>
          <w:szCs w:val="16"/>
          <w:i w:val="1"/>
          <w:iCs w:val="1"/>
          <w:color w:val="auto"/>
        </w:rPr>
        <w:t>Investments - Equity Method and Joint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Ventures </w:t>
      </w:r>
      <w:r>
        <w:rPr>
          <w:rFonts w:ascii="Arial" w:cs="Arial" w:eastAsia="Arial" w:hAnsi="Arial"/>
          <w:sz w:val="16"/>
          <w:szCs w:val="16"/>
          <w:color w:val="auto"/>
        </w:rPr>
        <w:t>(“ASC 323”). If we determine that a loss in the value of the investment is other than temporary, we write down the investment to its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Any such losses are recorded to equity in (earnings) loss of unconsolidated entities, which is reflected in other income, net. Due to uncertainties in the estimation process and the significant volatility in demand for new housing, actual results could differ significantly from such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The excess of the purchase price of a business acquisition over the net fair value of assets acquired and liabilities assumed is capitalized as goodwill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Goodwill and intangible assets that do not have finite lives are not amortized, but are assessed for impairment at least annually or more frequently if certain impairment indicators are present. The $12.0 million of goodwill is related to the reorganization transactions completed in connection with the initial public offering of our common stock in November 2013. In applying the goodwill impairment test, we have the option to perform a qualitative test (also known as “Step 0”) or a two-step quantitative test (consisting of “Step 1” and “Step 2”). Under the Step 0 test, we first assess qualitative factors to determine whether it is more likely than not that the fair value of the reporting units is less than their carrying value. Qualitative factors may include, but are not limited to, economic conditions, industry and market considerations, cost factors, overall financial performance of the reporting unit and other entity and reporting unit specific events. If after assessing these qualitative factors, we determine it is “more-likely-than-not” that the fair value of the reporting unit is less than the carrying value, then performing the two-step quantitative test is necessary. Annually, we performed a Step 0 analysis and determined that it is not “more likely than not” that the fair values of the reporting units were less than their carrying amounts. No goodwill impairment charges were recorded in 2019, 2018 and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Reserves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Future direct warranty costs are accrued and charged to cost of sales in the period when the related home is closed. Our warranty liability is based upon historical warranty cost experience and is adjusted as appropriate to reflect qualitative risks associated with the types of homes built, the geographic areas in which they are built, and potential impacts of our continued expansion.</w:t>
      </w:r>
    </w:p>
    <w:p>
      <w:pPr>
        <w:spacing w:after="0" w:line="7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Warranty reserves are reviewed quarterly to assess the reasonableness and adequacy and adjusted, as needed, to reflect changes in trends and historical data as information becomes available.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Deposits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Customer deposits are received upon signing a purchase contract and are generally $1,000 . Deposits are generally refundable if the customer is unable to obtain financing. Forfeited buyer deposits related to home sales are recognized in other income in the period in which it is determined that the buyer will not complete the purchase of the property and the deposit is nonrefundable to the buyer.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Sales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Revenues from home sales are recognized when control of the promised goods or services is transferred to our customers, in an amount that reflects the consideration we expect to be entitled to in exchange for those goods or services. Revenues from home sales are recorded at the time each home sale is closed, title and possession are transferred to the customer and we have no significant continuing involvement with the home. Home sales discounts and incentives granted to customers, which are related to the customers’ closing costs that we pay on the customers’ behalf, are recorded as a reduction of revenue in our consolidated financial statements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discussed under “—Real Estate Inventory” above, cost of sales for homes closed include the construction costs of each home and allocable land acquisition and land development costs, capitalized interest, and other related common costs (both incurred and estimated to be incurred).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Commission Costs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commissions are paid and expensed based on homes closed. Other selling costs are expensed in the period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Advertising and direct mail costs are expensed as incurred. Advertising and direct mail costs were $20.2 million, $17.6 million and $15.2 million for the years ended December 31, 2019, 2018, and 2017,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a taxable entity subject to federal and state taxes. We utilize the liability method of accounting for income taxes. Under the liability method, deferred tax assets and liabilities are recognized using enacted tax rates for the effect of temporary differences between the book and tax bases of recorded assets and liabilities. Changes in tax rate are recognized in the year of enactment. Deferred tax assets are reduced by a valuation allowance if it is more likely than not that some portion or all of the net deferred tax assets will not be realized. Our ability to realize deferred tax assets is assessed throughout the year and a valuation allowance is established, if required. We recognize the impact of a tax position only if it is more likely than not to be sustained upon examination based on the technical merits of the position. We recognize potential interest and penalties related to uncertain tax positions in income tax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Basic earnings per share is based on the weighted average number of shares of common stock outstanding. Diluted earnings per share is based on the weighted average number of shares of common stock and dilutive securities outstanding. In accordance with ASC 260-10, </w:t>
      </w:r>
      <w:r>
        <w:rPr>
          <w:rFonts w:ascii="Arial" w:cs="Arial" w:eastAsia="Arial" w:hAnsi="Arial"/>
          <w:sz w:val="16"/>
          <w:szCs w:val="16"/>
          <w:i w:val="1"/>
          <w:iCs w:val="1"/>
          <w:color w:val="auto"/>
        </w:rPr>
        <w:t>Earnings Per Share</w:t>
      </w:r>
      <w:r>
        <w:rPr>
          <w:rFonts w:ascii="Arial" w:cs="Arial" w:eastAsia="Arial" w:hAnsi="Arial"/>
          <w:sz w:val="16"/>
          <w:szCs w:val="16"/>
          <w:color w:val="auto"/>
        </w:rPr>
        <w:t>, we calculated the dilutive effect of our 4.25% Convertible Notes due 2019 (the “Convertible Notes”) using the treasury stock method through the maturity date of the Convertible Notes, since we had the intent and ability to settle the principal amount of the outstanding Convertible Notes in cash. Under the treasury stock method, the Convertible Notes had a dilutive impact on diluted earnings per share to the extent that the average market price of our common stock for a reporting period exceeded the conversion price of $21.52 per share.The Convertible Notes matured on November 15, 2019, resulting in the issuance of 2,381,751 shares of our common stock. Diluted earnings per share excludes all dilutive potential shares of common stock if their effect is antidilutive.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Compensation costs for non-performance-based restricted stock awards are measured using the closing price of our common stock on the date of grant and are expensed on a straight-line basis over the requisite service period of the award. Compensation costs for performance-based restricted stock awards also contain a market condition. These costs are measured using the derived grant date fair value, based on a third party valuation analysis, and are expensed in accordance with ASC 718-10-25-20,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requires an assessment of probability of attainment of the performance target. Once the performance target outcome is determined to be probable, the cumulative expense is adjusted, as needed, to recognize compensation expense on a straight-line basis over the award’s requisite service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On January 1, 2019, we adopted the Financial Accounting Standards Board (the “FASB”) Accounting Standards Update (“ASU”) 2016-02, “Leases (Topic 842)” (“ASU 2016-02”), which amends the existing standards for lease accounting, requiring lessees to recognize most leases on their balance sheets and disclose key information about leasing arrangements. The new standard establishes an ROU model that requires a lessee to recognize an ROU asset and lease liability on the balance sheet for all leases with a term longer than one year. Leases will be classified as finance or operating, with classification affecting the pattern and classification of expense recognition in the income statement.</w:t>
      </w:r>
    </w:p>
    <w:p>
      <w:pPr>
        <w:spacing w:after="0" w:line="80"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adopted the new standard with a modified retrospective transition approach, so financial information is not updated for periods prior to January 1, 2019. Pursuant to the adoption of the new standard, we elected the practical expedients upon transition that do not require us to reassess existing contracts to determine if they contain leases under the new definition of a lease, or to reassess historical lease classification or initial direct costs. We also elected the practical expedient to not separate lease and non-lease components for new leases after adoption of the new standard.</w:t>
      </w:r>
    </w:p>
    <w:p>
      <w:pPr>
        <w:spacing w:after="0" w:line="63"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adoption of Topic 842 is accounted for as a change in accounting principle in conformity with FASB ASC 250, “Accounting Changes and Error Corrections.” As a result of the adoption, the most significant changes are related to the recognition of new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ROU assets and lease liabilities of $5.4 million as of January 1, 2019 on the balance sheet for office operating leases. The Company's existing material leases are all considered operating leases under the new leasing standard and as a result, no adjustment to retained earnings was required.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which requires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customers in cloud computing arrangements to defer implementation costs if they would be capitalized by the entity in software licensing arrangements under the internal-use software guidance. The guidance may be applied retrospectively or prospectively to implementation costs incurred after the date of adoption. ASU 2018-15 is effective for us beginning January 1, 2020. We are currently evaluating the impact that this standard will have on our financial statements.</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modifies the disclosure requirements of fair value measurements. ASU 2018-13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us beginning January 1, 2020. Certain disclosures are required to be applied on a retrospective basis and others on a prospective basis. We do not expect ASU 2018-13 to have a material impact on our financial statements.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Accounting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(“ASU 2017-04”), which removes the requirement to perform a hypothetical purchase price allocation to measure goodwill impairment. A</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will now be the amount by which a reporting unit’s carrying value exceeds its fair value, not to exceed the carrying amount of goodwill. ASU 2017-04 is effective for us beginning January 1, 2020, with early adoption permitted, and applied prospectively. We do not expect ASU 2017-04 to have a material impact on our financial statements.</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changes the impairment model for most financial assets and certain other instruments from an “incurred loss”</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a new “expected credit loss” methodology. ASU 2016-13 is effective for us beginning January 1, 2020, with early adoption permitted. We are currently evaluating the impact that this standard will have on our financial statements.</w:t>
      </w:r>
    </w:p>
    <w:p>
      <w:pPr>
        <w:spacing w:after="0" w:line="183"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Revenues from home sales are recognized when control of the promised goods or services is transferred to our customers, in an amount that reflects the consideration we expect to be entitled to in exchange for those goods or services. Revenues from home sales are recorded at the time each home sale is closed, title and possession are transferred to the customer and we have no significant continuing involvement with the home. Home sales discounts and incentives granted to customers, which are related to the customers’ closing costs that we pay on the customers’ behalf, are recorded as a reduction of revenue in our consolidated financial statements of operations.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home sales revenues disaggregated by revenue stream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w w:val="91"/>
              </w:rPr>
              <w:t>For the Year Ended December 31,</w:t>
            </w:r>
          </w:p>
        </w:tc>
        <w:tc>
          <w:tcPr>
            <w:tcW w:w="17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2017</w:t>
            </w:r>
          </w:p>
        </w:tc>
      </w:tr>
      <w:tr>
        <w:trPr>
          <w:trHeight w:val="27"/>
        </w:trPr>
        <w:tc>
          <w:tcPr>
            <w:tcW w:w="4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home sales revenues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1,714,277</w:t>
            </w:r>
          </w:p>
        </w:tc>
        <w:tc>
          <w:tcPr>
            <w:tcW w:w="7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1,394,475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1,217,191</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123,877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109,925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40,769</w:t>
            </w:r>
          </w:p>
        </w:tc>
      </w:tr>
      <w:tr>
        <w:trPr>
          <w:trHeight w:val="27"/>
        </w:trPr>
        <w:tc>
          <w:tcPr>
            <w:tcW w:w="43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home sales revenues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1,838,154</w:t>
            </w:r>
          </w:p>
        </w:tc>
        <w:tc>
          <w:tcPr>
            <w:tcW w:w="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1,504,400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1,257,960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following table presents our home sales revenues disaggregated by geography, based on our determined operating segments in </w:t>
      </w:r>
      <w:hyperlink w:anchor="page70">
        <w:r>
          <w:rPr>
            <w:rFonts w:ascii="Arial" w:cs="Arial" w:eastAsia="Arial" w:hAnsi="Arial"/>
            <w:sz w:val="18"/>
            <w:szCs w:val="18"/>
            <w:u w:val="single" w:color="auto"/>
            <w:color w:val="0000EE"/>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69"/>
        </w:trPr>
        <w:tc>
          <w:tcPr>
            <w:tcW w:w="136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2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w w:val="91"/>
              </w:rPr>
              <w:t>For the Year Ended December 31,</w:t>
            </w:r>
          </w:p>
        </w:tc>
        <w:tc>
          <w:tcPr>
            <w:tcW w:w="1740" w:type="dxa"/>
            <w:vAlign w:val="bottom"/>
          </w:tcPr>
          <w:p>
            <w:pPr>
              <w:spacing w:after="0"/>
              <w:rPr>
                <w:sz w:val="24"/>
                <w:szCs w:val="24"/>
                <w:color w:val="auto"/>
              </w:rPr>
            </w:pPr>
          </w:p>
        </w:tc>
      </w:tr>
      <w:tr>
        <w:trPr>
          <w:trHeight w:val="27"/>
        </w:trPr>
        <w:tc>
          <w:tcPr>
            <w:tcW w:w="1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2017</w:t>
            </w:r>
          </w:p>
        </w:tc>
      </w:tr>
      <w:tr>
        <w:trPr>
          <w:trHeight w:val="27"/>
        </w:trPr>
        <w:tc>
          <w:tcPr>
            <w:tcW w:w="13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Central</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724,981</w:t>
            </w:r>
          </w:p>
        </w:tc>
        <w:tc>
          <w:tcPr>
            <w:tcW w:w="72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623,751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533,254</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1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347,817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271,073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183,422</w:t>
            </w:r>
          </w:p>
        </w:tc>
      </w:tr>
      <w:tr>
        <w:trPr>
          <w:trHeight w:val="27"/>
        </w:trPr>
        <w:tc>
          <w:tcPr>
            <w:tcW w:w="1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1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277,567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215,421</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271,186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151,059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126,130</w:t>
            </w:r>
          </w:p>
        </w:tc>
      </w:tr>
      <w:tr>
        <w:trPr>
          <w:trHeight w:val="27"/>
        </w:trPr>
        <w:tc>
          <w:tcPr>
            <w:tcW w:w="1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189,876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180,950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199,733</w:t>
            </w:r>
          </w:p>
        </w:tc>
      </w:tr>
      <w:tr>
        <w:trPr>
          <w:trHeight w:val="25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Home sales revenues</w:t>
            </w:r>
          </w:p>
        </w:tc>
        <w:tc>
          <w:tcPr>
            <w:tcW w:w="138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1,838,154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1,504,400</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1,257,960</w:t>
            </w:r>
          </w:p>
        </w:tc>
      </w:tr>
      <w:tr>
        <w:trPr>
          <w:trHeight w:val="20"/>
        </w:trPr>
        <w:tc>
          <w:tcPr>
            <w:tcW w:w="1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Sales Revenues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generate revenues primarily by delivering move-in ready entry-level and move-up spec homes sold under our LGI Homes brand and our luxury series spec homes sold under our Terrata Homes brand.</w:t>
      </w:r>
    </w:p>
    <w:p>
      <w:pPr>
        <w:spacing w:after="0" w:line="6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Retail homes sold under both our LGI Homes brand and Terrata Homes brand focus on providing move-in ready homes with standardized features within favorable markets that meet certain demographic and economic conditions. Our LGI Homes brand primarily markets to entry-level or first-time homebuyers, while our Terrata Homes brand primarily markets to move-up homebuyers.</w:t>
      </w:r>
    </w:p>
    <w:p>
      <w:pPr>
        <w:spacing w:after="0" w:line="7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other revenues are composed of our wholesale home sales under our LGI Homes brand and Terrata Homes brand in existing markets. Wholesale homes are primarily sold under a bulk sales agreement and focus on providing move-in ready homes with standardized features to real estate investors that will ultimately use the single-family homes as rental properties.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contracts with customers include a single performance obligation to transfer a completed home to the customer. We generally determine selling price per home on the expected cost plus margin. Our contracts contain no significant financing terms as customers who finance do so through a third party. Performance obligations are satisfied at a moment in time when the home is complete and control of the asset is transferred to the customer at closing. Home sales proceeds are generally received from the title company within a few business days after closing.</w:t>
      </w:r>
    </w:p>
    <w:p>
      <w:pPr>
        <w:spacing w:after="0" w:line="6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Sales and broker commissions are incremental costs incurred to obtain a contract with a customer that would not have been incurred if the contract had not been obtained. Sales and broker commissions are expensed upon fulfillment of a home closing. Advertising costs are costs to obtain a contract that would have been incurred regardless of whether the contract was obtained and are recognized as an expense when incurred. Sales and broker commissions and advertising costs are recorded within sales and marketing expense presented in our consolidated statements of operations as selling expenses.</w:t>
      </w:r>
    </w:p>
    <w:p>
      <w:pPr>
        <w:spacing w:after="0" w:line="150"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INVENTORY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real estate inventory consists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66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Land, land under development, and finished lots</w:t>
            </w: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912,651</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736,402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Information centers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26,959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21,179</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Homes in progress</w:t>
            </w:r>
          </w:p>
        </w:tc>
        <w:tc>
          <w:tcPr>
            <w:tcW w:w="4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234,470</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149,506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Completed homes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325,544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321,169</w:t>
            </w:r>
          </w:p>
        </w:tc>
      </w:tr>
      <w:tr>
        <w:trPr>
          <w:trHeight w:val="27"/>
        </w:trPr>
        <w:tc>
          <w:tcPr>
            <w:tcW w:w="766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real estate inventory</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1,499,624</w:t>
            </w:r>
          </w:p>
        </w:tc>
        <w:tc>
          <w:tcPr>
            <w:tcW w:w="12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1,228,256</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See “Real Estate Inventory” under </w:t>
      </w:r>
      <w:hyperlink w:anchor="page54">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117" w:lineRule="exact"/>
        <w:rPr>
          <w:sz w:val="20"/>
          <w:szCs w:val="20"/>
          <w:color w:val="auto"/>
        </w:rPr>
      </w:pPr>
    </w:p>
    <w:p>
      <w:pPr>
        <w:jc w:val="both"/>
        <w:ind w:firstLine="405"/>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Interest and financing costs incurred under our debt obligations, as more fully discussed in </w:t>
      </w:r>
      <w:hyperlink w:anchor="page61">
        <w:r>
          <w:rPr>
            <w:rFonts w:ascii="Arial" w:cs="Arial" w:eastAsia="Arial" w:hAnsi="Arial"/>
            <w:sz w:val="18"/>
            <w:szCs w:val="18"/>
            <w:u w:val="single" w:color="auto"/>
            <w:color w:val="0000EE"/>
          </w:rPr>
          <w:t>Note 7</w:t>
        </w:r>
      </w:hyperlink>
      <w:r>
        <w:rPr>
          <w:rFonts w:ascii="Arial" w:cs="Arial" w:eastAsia="Arial" w:hAnsi="Arial"/>
          <w:sz w:val="18"/>
          <w:szCs w:val="18"/>
          <w:color w:val="auto"/>
        </w:rPr>
        <w:t>, are capitalized to qualifying real estate projects under development and homes under construction.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08"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Asset Life</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6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Computer equipment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Furniture and fixtures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Buildings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Leasehold improvements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Total property and equipment</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4,894</w:t>
            </w:r>
          </w:p>
        </w:tc>
      </w:tr>
      <w:tr>
        <w:trPr>
          <w:trHeight w:val="27"/>
        </w:trPr>
        <w:tc>
          <w:tcPr>
            <w:tcW w:w="6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Less: Accumulated depreciation</w:t>
            </w: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r>
      <w:tr>
        <w:trPr>
          <w:trHeight w:val="257"/>
        </w:trPr>
        <w:tc>
          <w:tcPr>
            <w:tcW w:w="6400" w:type="dxa"/>
            <w:vAlign w:val="bottom"/>
          </w:tcPr>
          <w:p>
            <w:pPr>
              <w:ind w:left="500"/>
              <w:spacing w:after="0"/>
              <w:rPr>
                <w:sz w:val="20"/>
                <w:szCs w:val="20"/>
                <w:color w:val="auto"/>
              </w:rPr>
            </w:pPr>
            <w:r>
              <w:rPr>
                <w:rFonts w:ascii="Arial" w:cs="Arial" w:eastAsia="Arial" w:hAnsi="Arial"/>
                <w:sz w:val="18"/>
                <w:szCs w:val="18"/>
                <w:color w:val="auto"/>
              </w:rPr>
              <w:t>Property and equipment, net</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1,432</w:t>
            </w:r>
          </w:p>
        </w:tc>
      </w:tr>
      <w:tr>
        <w:trPr>
          <w:trHeight w:val="20"/>
        </w:trPr>
        <w:tc>
          <w:tcPr>
            <w:tcW w:w="6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Depreciation expense incurred for the years ended December 31, 2019, 2018 and 2017 was $0.6 million, $0.7 million and $0.8 million, respectively.</w:t>
      </w:r>
    </w:p>
    <w:p>
      <w:pPr>
        <w:spacing w:after="0" w:line="24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LIABILITIES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and other liabilities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payable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Retentions and development payable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26,790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18,899</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bonuses and benefits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11,361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12,339</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related obligations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reserve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17,337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10,640</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accrued expenses and other liabilities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117,868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76,555</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Related Obligations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own lots in certain communities in Arizona, Florida, and Texas that have Community Development Districts (“CDD”) or similar utility and infrastructure development special assessment programs that allocate a fixed amount of debt service associated with development activities to each lot. This obligation for infrastructure development is attached to the land, is typically payable over a 30-year period, and is ultimately assumed by the homebuyer when home sales are closed. Such obligations represent a non-cash cost of the lots. At December 31, 2019 and 2018, we had CDD and other utility development obligations of approximately $7.8 million and $7.0 million,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Warranty Reserve</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typically provide homebuyers with a one-year warranty on the house and a ten-year limited warranty for major defects in structural elements such as framing components and foundation systems.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to our warranty accrual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reserves,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4,999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Warranty reserves,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2,450</w:t>
            </w: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NOTES PAYABLE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Agreement</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May 6, 2019, we entered into that certain Fourth Amended and Restated Credit Agreement (as amended, the “Credit Agreement”) with several financial institutions and Wells Fargo Bank, National Association, as administrative agent. The Credit Agreement has substantially similar terms and provisions to our third amended and restated credit agreement entered into in May 2018 with several financial institutions and Wells Fargo Bank, National Association, as administrative agent (the “2018 Credit Agreement”), but, among other things, provides for a revolving credit facility of $550.0 million, which could be increased at our request by up to $100.0 million if the lenders make additional commitments, subject to the terms and conditions of the Credit Agreement (which was requested in December 2019). On December 6, 2019, we entered into a Lender Addition and Acknowledgement Agreement and First Amendment to Fourth Amended and Restated Credit Agreement with certain lenders and Wells Fargo Bank, National Association, as an increasing lender and administrative agent, whereby the aggregate revolving commitments under the Credit Agreement increased by $100.0 million from $550.0 million to $650.0 million in accordance with the relevant provisions of the Credit Agreement.</w:t>
      </w:r>
    </w:p>
    <w:p>
      <w:pPr>
        <w:spacing w:after="0" w:line="7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Agreement matures on May 31, 2022. Before each anniversary of the Credit Agreement, we may request a one-year extension of the maturity date. The Credit Agreement is guaranteed by each of our subsidiaries that have gross assets equal to or greater than $0.5 million. As of December 31, 2019, the borrowing base under the Credit Agreement was $940.1 million, of which borrowings, including our 6.875% Senior Notes due 2026 (the “Senior Notes”), of $699.6 million were outstanding, $11.6 million of letters of credit were outstanding and $228.0 million was available to borrow under the Credit Agreement, net of deferred purchase price obligations.</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is paid monthly on borrowings under the Credit Agreement at LIBOR plus 2.50%. The Credit Agreement applicable margin for LIBOR loans ranges from 2.35% to 2.75% based on our leverage ratio. At December 31, 2019, LIBOR was 1.75%.</w:t>
      </w:r>
    </w:p>
    <w:p>
      <w:pPr>
        <w:spacing w:after="0" w:line="6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Credit Agreement contains various financial covenants, including a minimum tangible net worth, a leverage ratio, a minimum liquidity amount and an EBITDA to interest expense ratio. The Credit Agreement contains various covenants that, among other restrictions, limit the amount of our additional debt and our ability to make certain investments. At December 31, 2019, we were in compliance with all of the covenants contained in the Credit Agreement.</w:t>
      </w:r>
    </w:p>
    <w:p>
      <w:pPr>
        <w:spacing w:after="0" w:line="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issuance of the Senior Notes in July 2018, we reduced the revolving commitment under the 2018 Credit Agreement from $750.0 million to $450.0 million. During the year ended December 31, 2018, we recognized on our consolidated statements of operations $3.4 million in debt extinguishment costs related to the 2018 Credit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issued $85.0 million aggregate principal amount of the Convertible Notes in November 2014 pursuant to an exemption from the registration requirements afforded by Section 4(a)(2) of the Securities Act of 1933, as amended (the “Securities Act”).</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fourth quarter of 2017, we received notice from holders of $15.0 million principal amount of the Convertible Notes to convert their Convertible Notes. The conversion of such Convertible Notes was settled in the first quarter of 2018, resulting in the issuance of 486,679 shares of our common stock, a $0.6 million reduction to debt discount and additional paid in capital, a $0.2 million loss on the extinguishment of debt and a cash payment of $15.0 million for the principal amount of such Convertible Notes. On November 15, 2019, the Convertible Notes matured, which resulted in the principal payment of $70.0 million and the issuance of 2,381,751 shares of our common stock for the premium associated with the Convertible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Offering</w:t>
      </w:r>
    </w:p>
    <w:p>
      <w:pPr>
        <w:spacing w:after="0" w:line="25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July 6, 2018, we issued $300.0 million aggregate principal amount of the Senior Notes in an offering to persons reasonably believed to be qualified institutional buyers in the United States pursuant to Rule 144A under the Securities Act and to certain non-U.S. persons in transactions outside the United States pursuant to Regulation S under the Securities Act. Interest on the Senior Notes accrues at a rate of 6.875% per annum, payable semi-annually in arrears on January 15 and July 15 of each year, commencing on January 15, 2019, and the Senior Notes mature on July 15, 2026. Terms of the Senior Notes are governed by an indenture and supplemental indenture, each dated as of July 6, 2018, among us, our subsidiaries that guarantee our obligations under the Credit Agreement and Wilmington Trust, National Association, as trustee.</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received net proceeds from the offering of the Senior Notes of approximately $296.2 million, after deducting the initial purchasers’ discounts of $2.3 million and commissions and offering expenses of $1.5 million. The net proceeds from the offering were used to repay a portion of the borrowings under the 2018 Credit Agreement.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Notes payable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Notes payable under the Credit Agreement ($650.0 million revolving credit facility at December</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31, 2019) maturing on May 31, 2022; interest paid monthly at LIBOR plus 2.50%; net of debt</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costs of approximately $5.0 million and $3.7 million at December 31, 2019 and</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 respectively</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394,531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290,131</w:t>
            </w: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8"/>
              </w:rPr>
              <w:t>6.875% Senior Notes due July 15, 2026; interest paid semi-annually at 6.875%; net of debt</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7200" w:type="dxa"/>
            <w:vAlign w:val="bottom"/>
          </w:tcPr>
          <w:p>
            <w:pPr>
              <w:ind w:left="40"/>
              <w:spacing w:after="0"/>
              <w:rPr>
                <w:sz w:val="20"/>
                <w:szCs w:val="20"/>
                <w:color w:val="auto"/>
              </w:rPr>
            </w:pPr>
            <w:r>
              <w:rPr>
                <w:rFonts w:ascii="Arial" w:cs="Arial" w:eastAsia="Arial" w:hAnsi="Arial"/>
                <w:sz w:val="18"/>
                <w:szCs w:val="18"/>
                <w:color w:val="auto"/>
                <w:w w:val="93"/>
              </w:rPr>
              <w:t>issuance costs of approximately $2.2 million and $2.5 at December 31, 2019 and December 31,</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200" w:type="dxa"/>
            <w:vAlign w:val="bottom"/>
          </w:tcPr>
          <w:p>
            <w:pPr>
              <w:ind w:left="40"/>
              <w:spacing w:after="0"/>
              <w:rPr>
                <w:sz w:val="20"/>
                <w:szCs w:val="20"/>
                <w:color w:val="auto"/>
              </w:rPr>
            </w:pPr>
            <w:r>
              <w:rPr>
                <w:rFonts w:ascii="Arial" w:cs="Arial" w:eastAsia="Arial" w:hAnsi="Arial"/>
                <w:sz w:val="18"/>
                <w:szCs w:val="18"/>
                <w:color w:val="auto"/>
                <w:w w:val="95"/>
              </w:rPr>
              <w:t>2018, respectively; and approximately $1.8 million and $2.1 million in unamortized discount at</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December 31, 2019 and December 31, 2018, respectively</w:t>
            </w:r>
          </w:p>
        </w:tc>
        <w:tc>
          <w:tcPr>
            <w:tcW w:w="12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296,028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295,352</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Convertible Notes matured November 15, 2019; interest paid semi-annually at 4.25%; net of</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debt issuance costs of approximately $0.0 million and $0.4 million at December 31, 2019 and</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December  31,  2018,  respectively;  and  approximately  $0.0  million  and  $1.3  million  in</w:t>
            </w: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discount at December 31, 2019 and December 31, 2018, respectively</w:t>
            </w:r>
          </w:p>
        </w:tc>
        <w:tc>
          <w:tcPr>
            <w:tcW w:w="1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68,251</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Notes Payable</w:t>
            </w:r>
          </w:p>
        </w:tc>
        <w:tc>
          <w:tcPr>
            <w:tcW w:w="128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690,559</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653,734</w:t>
            </w: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2019, the annual aggregate maturities of notes payable during each of the next five fiscal years are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9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2021</w:t>
            </w:r>
          </w:p>
        </w:tc>
        <w:tc>
          <w:tcPr>
            <w:tcW w:w="5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399,558</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2023</w:t>
            </w:r>
          </w:p>
        </w:tc>
        <w:tc>
          <w:tcPr>
            <w:tcW w:w="5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notes payable</w:t>
            </w:r>
          </w:p>
        </w:tc>
        <w:tc>
          <w:tcPr>
            <w:tcW w:w="5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699,558</w:t>
            </w:r>
          </w:p>
        </w:tc>
        <w:tc>
          <w:tcPr>
            <w:tcW w:w="0" w:type="dxa"/>
            <w:vAlign w:val="bottom"/>
          </w:tcPr>
          <w:p>
            <w:pPr>
              <w:spacing w:after="0"/>
              <w:rPr>
                <w:sz w:val="1"/>
                <w:szCs w:val="1"/>
                <w:color w:val="auto"/>
              </w:rPr>
            </w:pPr>
          </w:p>
        </w:tc>
      </w:tr>
      <w:tr>
        <w:trPr>
          <w:trHeight w:val="243"/>
        </w:trPr>
        <w:tc>
          <w:tcPr>
            <w:tcW w:w="3820" w:type="dxa"/>
            <w:vAlign w:val="bottom"/>
          </w:tcPr>
          <w:p>
            <w:pPr>
              <w:ind w:left="120"/>
              <w:spacing w:after="0"/>
              <w:rPr>
                <w:sz w:val="20"/>
                <w:szCs w:val="20"/>
                <w:color w:val="auto"/>
              </w:rPr>
            </w:pPr>
            <w:r>
              <w:rPr>
                <w:rFonts w:ascii="Arial" w:cs="Arial" w:eastAsia="Arial" w:hAnsi="Arial"/>
                <w:sz w:val="18"/>
                <w:szCs w:val="18"/>
                <w:color w:val="auto"/>
              </w:rPr>
              <w:t>Less: Debt discount</w:t>
            </w:r>
          </w:p>
        </w:tc>
        <w:tc>
          <w:tcPr>
            <w:tcW w:w="5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Debt issuance costs</w:t>
            </w:r>
          </w:p>
        </w:tc>
        <w:tc>
          <w:tcPr>
            <w:tcW w:w="55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57"/>
        </w:trPr>
        <w:tc>
          <w:tcPr>
            <w:tcW w:w="3820" w:type="dxa"/>
            <w:vAlign w:val="bottom"/>
          </w:tcPr>
          <w:p>
            <w:pPr>
              <w:ind w:left="540"/>
              <w:spacing w:after="0"/>
              <w:rPr>
                <w:sz w:val="20"/>
                <w:szCs w:val="20"/>
                <w:color w:val="auto"/>
              </w:rPr>
            </w:pPr>
            <w:r>
              <w:rPr>
                <w:rFonts w:ascii="Arial" w:cs="Arial" w:eastAsia="Arial" w:hAnsi="Arial"/>
                <w:sz w:val="18"/>
                <w:szCs w:val="18"/>
                <w:b w:val="1"/>
                <w:bCs w:val="1"/>
                <w:color w:val="auto"/>
              </w:rPr>
              <w:t>Net notes payable</w:t>
            </w:r>
          </w:p>
        </w:tc>
        <w:tc>
          <w:tcPr>
            <w:tcW w:w="554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690,559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540" w:type="dxa"/>
            <w:vAlign w:val="bottom"/>
            <w:vMerge w:val="restart"/>
          </w:tcPr>
          <w:p>
            <w:pPr>
              <w:jc w:val="right"/>
              <w:ind w:right="3470"/>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82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Interest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activity, including other financing costs, for notes payable for the periods presented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Interest incurred</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45,555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38,216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24,275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Less: Amounts capitalized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(24,275)</w:t>
            </w:r>
          </w:p>
        </w:tc>
      </w:tr>
      <w:tr>
        <w:trPr>
          <w:trHeight w:val="27"/>
        </w:trPr>
        <w:tc>
          <w:tcPr>
            <w:tcW w:w="67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7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676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42,438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23,376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19,704</w:t>
            </w: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Included in interest incurred was amortization of deferred financing costs for notes payable and amortization of the Convertible Notes and the Senior Notes discounts of $4.1 million, $4.6 million, and $4.1 million for the years ended December 31, 2019, 2018, and 2017, respectively.</w:t>
      </w:r>
    </w:p>
    <w:p>
      <w:pPr>
        <w:spacing w:after="0" w:line="166"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55,218</w:t>
            </w:r>
          </w:p>
        </w:tc>
        <w:tc>
          <w:tcPr>
            <w:tcW w:w="0" w:type="dxa"/>
            <w:vAlign w:val="bottom"/>
          </w:tcPr>
          <w:p>
            <w:pPr>
              <w:spacing w:after="0"/>
              <w:rPr>
                <w:sz w:val="1"/>
                <w:szCs w:val="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60,188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provision (benefit)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53,224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43,812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58,096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taxes paid were $38.0 million, $83.3 million and $16.8 million for the years ended December 31, 2019, 2018 and 2017, respectively.</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statutory federal income tax rate to income before provision for income taxes for the years ended December 31, 2019, 2018 and 2017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Year Ended December 31,</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2017</w:t>
            </w:r>
          </w:p>
        </w:tc>
        <w:tc>
          <w:tcPr>
            <w:tcW w:w="740" w:type="dxa"/>
            <w:vAlign w:val="bottom"/>
          </w:tcPr>
          <w:p>
            <w:pPr>
              <w:spacing w:after="0"/>
              <w:rPr>
                <w:sz w:val="20"/>
                <w:szCs w:val="20"/>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5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Tax at federal statutory rate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48,685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activity deduction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(0.6)</w:t>
            </w: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 deductible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Change in tax rates - deferred taxes</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effective rate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43,812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720" w:hanging="22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Tax Act (as defined below) reduced the U.S. federal statutory rate from 35% to 21% beginning in 2018.</w:t>
      </w:r>
    </w:p>
    <w:p>
      <w:pPr>
        <w:spacing w:after="0" w:line="21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and liabilities at December 31, 2019 and 2018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Accruals and reserves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Lease</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Extinguishment</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 on Convertible Notes</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Prepaids</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160"/>
              <w:spacing w:after="0"/>
              <w:rPr>
                <w:sz w:val="20"/>
                <w:szCs w:val="20"/>
                <w:color w:val="auto"/>
              </w:rPr>
            </w:pPr>
            <w:r>
              <w:rPr>
                <w:rFonts w:ascii="Arial" w:cs="Arial" w:eastAsia="Arial" w:hAnsi="Arial"/>
                <w:sz w:val="18"/>
                <w:szCs w:val="18"/>
                <w:color w:val="auto"/>
              </w:rPr>
              <w:t>Tax depreciation in excess of book depreciation</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other assets amortized for tax</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1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deferred tax assets (liabilities)</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All Company operations are domestic. We file U.S. and state income tax returns in jurisdictions with varying statutes of limitations. The statute of limitations with regards to our federal income tax filings is three years. The statute of limitations for our state tax jurisdictions is three to four years depending on the jurisdiction. In the normal course of business, we are subject to tax audits in various jurisdictions, and such jurisdictions may assess additional income taxes. We do not expect the outcome of any audit to have a material effect on our consolidated financial statements; however, audit outcomes and the timing of audit adjustments are subject to significant uncertainty.</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22, 2017, the President signed into law the U.S. federal income tax legislation commonly referred to as the “Tax Cuts and Jobs Act” (the “Tax Act”), reducing the U.S. federal corporate income tax rate for tax years beginning after December 31, 2017, among other changes. Under ASC 740, Income Taxes (“ASC 740”), the effects of the Tax Act are recognized in the period that includes the date of enactment. The effect of this change impacted our effective tax rate and reduced the value of our deferred tax assets by approximately $1.1 million.</w:t>
      </w:r>
    </w:p>
    <w:p>
      <w:pPr>
        <w:spacing w:after="0" w:line="167"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authorized to issue 250,000,000 shares of common stock, par value $0.01 per share, and 5,000,000 shares of preferred stock, par value $0.01 per share. As of December 31, 2019 and 2018, no shares of preferred stock were issued or outstanding.</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December 31, 2019, we had 26,398,409 shares of common stock issued and 25,359,409 shares of common stock outstanding, including 1,039,000 treasury shares of our common stock. At December 31, 2018, we had 23,746,385 shares of common stock issued and 22,707,385 shares of common stock outstanding, including the 1,039,000 treasury shares of our common stock purchased by us. On November 15, 2019, the Convertible Notes matured, which resulted in the principal payment of $70.0 million and the issuance of 2,381,751 shares of our common stock for the premium associated with the Convertible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an effective shelf registration statement on Form S-3 (Registration No. 333-227012) that was filed on August 24, 2018 with the Securities and Exchange Commission, registering the offering and sale of an indeterminate amount of debt securities, guarantees of debt securities, preferred stock, common stock, warrants, depositary shares, purchase contracts and units that include any of these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we announced that our Board of Directors (the “Board”) authorized a stock repurchase program, pursuant to which we may purchase up to $50.0 million of shares of our common stock through open market transactions, privately negotiated transactions or otherwise in accordance with applicable laws. For the year ended December 31, 2019, we did not repurchase any shares of our common stock. For the year ended December 31, 2018, we repurchased 39,000 shares of our common stock for $1.5 million to be held as treasury stock. As of December 31, 2019 we may purchase up to $48.5 million of shares of our common stock under our stock repurchase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computation of basic and diluted earnings per share for the years ended December 31, 2019, 2018, and 2017.</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For the 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40"/>
              <w:spacing w:after="0"/>
              <w:rPr>
                <w:sz w:val="20"/>
                <w:szCs w:val="20"/>
                <w:color w:val="auto"/>
              </w:rPr>
            </w:pPr>
            <w:r>
              <w:rPr>
                <w:rFonts w:ascii="Arial" w:cs="Arial" w:eastAsia="Arial" w:hAnsi="Arial"/>
                <w:sz w:val="18"/>
                <w:szCs w:val="18"/>
                <w:color w:val="auto"/>
              </w:rPr>
              <w:t>Numerator (in thousands):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155,286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113,306</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23,191,595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22,551,762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21,604,932</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Convertible Notes - treasury stock method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1,966,639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2,030,023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1,975,648</w:t>
            </w:r>
          </w:p>
        </w:tc>
        <w:tc>
          <w:tcPr>
            <w:tcW w:w="0" w:type="dxa"/>
            <w:vAlign w:val="bottom"/>
          </w:tcPr>
          <w:p>
            <w:pPr>
              <w:spacing w:after="0"/>
              <w:rPr>
                <w:sz w:val="1"/>
                <w:szCs w:val="1"/>
                <w:color w:val="auto"/>
              </w:rPr>
            </w:pPr>
          </w:p>
        </w:tc>
      </w:tr>
      <w:tr>
        <w:trPr>
          <w:trHeight w:val="243"/>
        </w:trPr>
        <w:tc>
          <w:tcPr>
            <w:tcW w:w="5840" w:type="dxa"/>
            <w:vAlign w:val="bottom"/>
          </w:tcPr>
          <w:p>
            <w:pPr>
              <w:ind w:left="600"/>
              <w:spacing w:after="0"/>
              <w:rPr>
                <w:sz w:val="20"/>
                <w:szCs w:val="20"/>
                <w:color w:val="auto"/>
              </w:rPr>
            </w:pPr>
            <w:r>
              <w:rPr>
                <w:rFonts w:ascii="Arial" w:cs="Arial" w:eastAsia="Arial" w:hAnsi="Arial"/>
                <w:sz w:val="18"/>
                <w:szCs w:val="18"/>
                <w:color w:val="auto"/>
              </w:rPr>
              <w:t>Stock-based compensation units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272,607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310,489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352,542</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25,430,841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24,892,274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23,933,122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89"/>
        </w:trPr>
        <w:tc>
          <w:tcPr>
            <w:tcW w:w="58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Antidilutive non-vested restricted stock units excluded from calculation of</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14,211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20,462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16,473</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 xml:space="preserve">In accordance with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we calculated the dilutive effect of the Convertible Notes using the treasury stock method, since we had the intent and ability to settle the principal amount of the outstanding Convertible Notes in cash. The Convertible Notes matured and were repaid in full on November 15, 2019. Prior to maturity of the Convertible Notes, we included the effect of the additional potential dilutive shares if our common stock price exceeded the conversion price of $21.52 per share under the treasury stock method.</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Throughout each fiscal year presented to the maturity date of the Convertible Notes, the average market price of our common stock exceeded the conversion price of $21.52 per share; therefore, the calculation of diluted earnings per share for all years presented includes the effect of our common stock related to the conversion spread of the Convertible Notes.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Non-performance Based Restricted Stock Units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 total of 3,000,000 shares of our common stock have been reserved for issuance under the LGI Homes, Inc. Amended and Restated 2013 Equity Incentive Plan (the “2013 Incentive Plan”). There were 162,686 restricted stock units (“RSUs”) outstanding at December 31, 2019, issued at a $0.00 exercise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4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561"/>
        </w:trPr>
        <w:tc>
          <w:tcPr>
            <w:tcW w:w="8420" w:type="dxa"/>
            <w:vAlign w:val="bottom"/>
            <w:gridSpan w:val="3"/>
          </w:tcPr>
          <w:p>
            <w:pPr>
              <w:ind w:left="420"/>
              <w:spacing w:after="0"/>
              <w:rPr>
                <w:sz w:val="20"/>
                <w:szCs w:val="20"/>
                <w:color w:val="auto"/>
              </w:rPr>
            </w:pPr>
            <w:r>
              <w:rPr>
                <w:rFonts w:ascii="Arial" w:cs="Arial" w:eastAsia="Arial" w:hAnsi="Arial"/>
                <w:sz w:val="18"/>
                <w:szCs w:val="18"/>
                <w:color w:val="auto"/>
              </w:rPr>
              <w:t>The following table summarizes the activity of our time-vested RSUs: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0"/>
        </w:trPr>
        <w:tc>
          <w:tcPr>
            <w:tcW w:w="1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Weighted Average Grant</w:t>
            </w:r>
          </w:p>
        </w:tc>
      </w:tr>
      <w:tr>
        <w:trPr>
          <w:trHeight w:val="234"/>
        </w:trPr>
        <w:tc>
          <w:tcPr>
            <w:tcW w:w="13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320" w:type="dxa"/>
            <w:vAlign w:val="bottom"/>
          </w:tcPr>
          <w:p>
            <w:pPr>
              <w:ind w:left="760"/>
              <w:spacing w:after="0"/>
              <w:rPr>
                <w:sz w:val="20"/>
                <w:szCs w:val="20"/>
                <w:color w:val="auto"/>
              </w:rPr>
            </w:pPr>
            <w:r>
              <w:rPr>
                <w:rFonts w:ascii="Arial" w:cs="Arial" w:eastAsia="Arial" w:hAnsi="Arial"/>
                <w:sz w:val="18"/>
                <w:szCs w:val="18"/>
                <w:b w:val="1"/>
                <w:bCs w:val="1"/>
                <w:color w:val="auto"/>
                <w:w w:val="89"/>
              </w:rPr>
              <w:t>Shares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ind w:right="390"/>
              <w:spacing w:after="0"/>
              <w:rPr>
                <w:sz w:val="20"/>
                <w:szCs w:val="20"/>
                <w:color w:val="auto"/>
              </w:rPr>
            </w:pPr>
            <w:r>
              <w:rPr>
                <w:rFonts w:ascii="Arial" w:cs="Arial" w:eastAsia="Arial" w:hAnsi="Arial"/>
                <w:sz w:val="18"/>
                <w:szCs w:val="18"/>
                <w:b w:val="1"/>
                <w:bCs w:val="1"/>
                <w:color w:val="auto"/>
              </w:rPr>
              <w:t>Date Fair Value</w:t>
            </w:r>
          </w:p>
        </w:tc>
      </w:tr>
      <w:tr>
        <w:trPr>
          <w:trHeight w:val="27"/>
        </w:trPr>
        <w:tc>
          <w:tcPr>
            <w:tcW w:w="136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133,853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r>
      <w:tr>
        <w:trPr>
          <w:trHeight w:val="243"/>
        </w:trPr>
        <w:tc>
          <w:tcPr>
            <w:tcW w:w="8420" w:type="dxa"/>
            <w:vAlign w:val="bottom"/>
            <w:gridSpan w:val="3"/>
          </w:tcPr>
          <w:p>
            <w:pPr>
              <w:ind w:left="30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76,586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36.83</w:t>
            </w:r>
          </w:p>
        </w:tc>
      </w:tr>
      <w:tr>
        <w:trPr>
          <w:trHeight w:val="27"/>
        </w:trPr>
        <w:tc>
          <w:tcPr>
            <w:tcW w:w="13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Vested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(25,803)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w:t>
            </w:r>
          </w:p>
        </w:tc>
      </w:tr>
      <w:tr>
        <w:trPr>
          <w:trHeight w:val="243"/>
        </w:trPr>
        <w:tc>
          <w:tcPr>
            <w:tcW w:w="8420" w:type="dxa"/>
            <w:vAlign w:val="bottom"/>
            <w:gridSpan w:val="3"/>
          </w:tcPr>
          <w:p>
            <w:pPr>
              <w:ind w:left="30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rPr>
              <w:t>(9,536)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20.48</w:t>
            </w:r>
          </w:p>
        </w:tc>
      </w:tr>
      <w:tr>
        <w:trPr>
          <w:trHeight w:val="27"/>
        </w:trPr>
        <w:tc>
          <w:tcPr>
            <w:tcW w:w="136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175,100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r>
      <w:tr>
        <w:trPr>
          <w:trHeight w:val="243"/>
        </w:trPr>
        <w:tc>
          <w:tcPr>
            <w:tcW w:w="8420" w:type="dxa"/>
            <w:vAlign w:val="bottom"/>
            <w:gridSpan w:val="3"/>
          </w:tcPr>
          <w:p>
            <w:pPr>
              <w:ind w:left="18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54,874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57.60</w:t>
            </w:r>
          </w:p>
        </w:tc>
      </w:tr>
      <w:tr>
        <w:trPr>
          <w:trHeight w:val="27"/>
        </w:trPr>
        <w:tc>
          <w:tcPr>
            <w:tcW w:w="13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(51,694)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r>
      <w:tr>
        <w:trPr>
          <w:trHeight w:val="243"/>
        </w:trPr>
        <w:tc>
          <w:tcPr>
            <w:tcW w:w="8420" w:type="dxa"/>
            <w:vAlign w:val="bottom"/>
            <w:gridSpan w:val="3"/>
          </w:tcPr>
          <w:p>
            <w:pPr>
              <w:ind w:left="18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rPr>
              <w:t>(7,225)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34.77</w:t>
            </w:r>
          </w:p>
        </w:tc>
      </w:tr>
      <w:tr>
        <w:trPr>
          <w:trHeight w:val="27"/>
        </w:trPr>
        <w:tc>
          <w:tcPr>
            <w:tcW w:w="136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171,055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39.04</w:t>
            </w:r>
          </w:p>
        </w:tc>
      </w:tr>
      <w:tr>
        <w:trPr>
          <w:trHeight w:val="243"/>
        </w:trPr>
        <w:tc>
          <w:tcPr>
            <w:tcW w:w="8420" w:type="dxa"/>
            <w:vAlign w:val="bottom"/>
            <w:gridSpan w:val="3"/>
          </w:tcPr>
          <w:p>
            <w:pPr>
              <w:ind w:left="18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62,512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60.72</w:t>
            </w:r>
          </w:p>
        </w:tc>
      </w:tr>
      <w:tr>
        <w:trPr>
          <w:trHeight w:val="27"/>
        </w:trPr>
        <w:tc>
          <w:tcPr>
            <w:tcW w:w="13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(55,230)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w:t>
            </w:r>
          </w:p>
        </w:tc>
      </w:tr>
      <w:tr>
        <w:trPr>
          <w:trHeight w:val="243"/>
        </w:trPr>
        <w:tc>
          <w:tcPr>
            <w:tcW w:w="8420" w:type="dxa"/>
            <w:vAlign w:val="bottom"/>
            <w:gridSpan w:val="3"/>
          </w:tcPr>
          <w:p>
            <w:pPr>
              <w:ind w:left="18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(15,651)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47.73</w:t>
            </w:r>
          </w:p>
        </w:tc>
      </w:tr>
      <w:tr>
        <w:trPr>
          <w:trHeight w:val="27"/>
        </w:trPr>
        <w:tc>
          <w:tcPr>
            <w:tcW w:w="136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57"/>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162,686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50.84</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2019, we issued 20,847 RSUs to senior management for the time-based portion of our 2019 long-term incentive compensation program and 16,159 RSUs for 2018 annual bonuses to managers, which generally cliff vest on the third anniversary of the grant date. In 2018, we issued 15,867 RSUs to senior management for the time-based portion of our 2018 long-term incentive compensation program and 11,780 RSUs for 2017 annual bonuses to managers, which generally cliff vest on the third anniversary of the grant date. In 2017, we issued 27,764 RSUs to senior management for the time-based portion of our 2017 long-term incentive compensation program and 18,366 RSUs for 2016 annual bonuses to managers, which generally cliff vest on the third anniversary of the grant date. In addition, during the years ended December 31, 2019, 2018 and 2017, we issued 25,506, 27,227 and 30,456 RSUs, respectively, to certain employees, executives and non-employee directors, which vest over periods ranging from one to three years. Under the terms of the grant award agreements, all of the RSUs may only be settled in shares of our common stock.</w:t>
      </w:r>
    </w:p>
    <w:p>
      <w:pPr>
        <w:spacing w:after="0" w:line="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recognized $2.2 million, $2.0 million, and $1.3 million of stock-based compensation expense related to outstanding RSUs grants for the years ended December 31, 2019, 2018 and 2017, respectively. At December 31, 2019, we had unrecognized compensation cost of $4.3 million related to unvested RSUs, which is expected to be recognized over a weighted average period of 1.7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Restricted Stock Units</w:t>
      </w:r>
    </w:p>
    <w:p>
      <w:pPr>
        <w:spacing w:after="0" w:line="13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The Compensation Committee of the Board has granted awards of performance-based RSUs (“PSUs”) under the 2013 Incentive Plan to certain members of senior management based on three-year performance cycles. At December 31, 2019, there were 246,052 PSUs outstanding that have been granted </w:t>
      </w:r>
      <w:r>
        <w:rPr>
          <w:rFonts w:ascii="Arial" w:cs="Arial" w:eastAsia="Arial" w:hAnsi="Arial"/>
          <w:sz w:val="17"/>
          <w:szCs w:val="17"/>
          <w:color w:val="auto"/>
        </w:rPr>
        <w:t xml:space="preserve">to </w:t>
      </w:r>
      <w:r>
        <w:rPr>
          <w:rFonts w:ascii="Arial" w:cs="Arial" w:eastAsia="Arial" w:hAnsi="Arial"/>
          <w:sz w:val="16"/>
          <w:szCs w:val="16"/>
          <w:color w:val="auto"/>
        </w:rPr>
        <w:t>certain members of management at a $0.00 exercise price. The PSUs provide for shares of our common stock to be issued based on the attainment of</w:t>
      </w:r>
      <w:r>
        <w:rPr>
          <w:rFonts w:ascii="Arial" w:cs="Arial" w:eastAsia="Arial" w:hAnsi="Arial"/>
          <w:sz w:val="17"/>
          <w:szCs w:val="17"/>
          <w:color w:val="auto"/>
        </w:rPr>
        <w:t xml:space="preserve"> </w:t>
      </w:r>
      <w:r>
        <w:rPr>
          <w:rFonts w:ascii="Arial" w:cs="Arial" w:eastAsia="Arial" w:hAnsi="Arial"/>
          <w:sz w:val="16"/>
          <w:szCs w:val="16"/>
          <w:color w:val="auto"/>
        </w:rPr>
        <w:t>certain performance metrics over the applicable three-year periods. The number of shares of our common stock that may be issued to the recipients for the PSUs range from 0% to 200% of the target amount depending on actual results as compared to the target performance metrics. The terms of the PSUs provide that the payouts will be capped at 100% of the target number of PSUs granted if absolute total stockholder return is negative during the performance period, regardless of EPS performance; this market condition applies for amounts recorded above target. The compensation expense associated with the grants of PSU is determined using the derived grant date fair value, based on a third-party valuation analysis, and expensed over the applicable period. The PSUs vest upon the determination date for the actual results at the end of the three-year period and require that the recipients continue to be employed by us through the determination date. The PSUs can only be settled in shares of our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0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520" w:type="dxa"/>
            <w:vAlign w:val="bottom"/>
            <w:gridSpan w:val="4"/>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Table of Contents</w:t>
              </w:r>
            </w:hyperlink>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72"/>
        </w:trPr>
        <w:tc>
          <w:tcPr>
            <w:tcW w:w="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Target PSUs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Target PSUs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Outstanding at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Outstanding at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Performance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Target PSUs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Target PSUs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Target PSUs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Period Granted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Granted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Forfeited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2016 - 2018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r>
      <w:tr>
        <w:trPr>
          <w:trHeight w:val="243"/>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2017 - 2019</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108,247</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104,770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31.64</w:t>
            </w:r>
          </w:p>
        </w:tc>
      </w:tr>
      <w:tr>
        <w:trPr>
          <w:trHeight w:val="27"/>
        </w:trPr>
        <w:tc>
          <w:tcPr>
            <w:tcW w:w="1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2018 - 2020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61,898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64.60</w:t>
            </w:r>
          </w:p>
        </w:tc>
      </w:tr>
      <w:tr>
        <w:trPr>
          <w:trHeight w:val="243"/>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2019 -2021</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83,367</w:t>
            </w:r>
          </w:p>
        </w:tc>
        <w:tc>
          <w:tcPr>
            <w:tcW w:w="1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81,242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56.49</w:t>
            </w:r>
          </w:p>
        </w:tc>
      </w:tr>
      <w:tr>
        <w:trPr>
          <w:trHeight w:val="27"/>
        </w:trPr>
        <w:tc>
          <w:tcPr>
            <w:tcW w:w="20" w:type="dxa"/>
            <w:vAlign w:val="bottom"/>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50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253,801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83,367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246,052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At December 31, 2019, management estimates that the recipients will receive approximately106%, 128%, and 199%, of the 2019, 2018, and 2017 target number of PSUs, respectively, at the end of the applicable three-year performance cycle based on projected performance compared to the target performance metrics. The 2016 - 2018 performance period grants vested and issued on March 15, 2019 at 200% of the target number. We recognized $4.8 million, $4.0 million, and $2.9 million of total stock-based compensation expense related to outstanding PSUs grants for the years ended December 31, 2019, 2018 and 2017, respectively. At December 31, 2019, we had unrecognized compensation cost of $5.7 million, based on the probable amount, related to unvested PSUs, which is expected to be recognized over a weighted average period of 1.8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LGI Homes, Inc. Employee Stock Purchase Plan (the “ESPP”) provides for employees to make quarterly elections for payroll withholdings to purchase shares of our common stock at a 15% discount from the closing price of our common stock on the purchase date, which is the last business day of each calendar quarter. During the years ended December 31, 2019, 2018 and 2017, we issued 47,731, 49,744, and 33,887 shares of our common stock to the ESPP participants. We received net proceeds of approximately $2.9 million, $2.7 million and $1.6 million related to the ESPP for 2019, 2018, and 2017, respectively. We recognized $0.5 million, $0.4 million, and $0.2 million in stock compensation expense related to the ESPP for 2019, 2018, and 2017, respectively. The ESPP contributions are not refundable (other than in the case of termination of employment) and, therefore, the shares purchasable with the amounts withheld are included in weighted-average shares outstanding for both basic and diluted earnings per share. The maximum aggregate number of shares of our common stock which may be issued pursuant to the ESPP is 500,000 shares, and as of December 31, 2019, 349,240 shares of our common stock remain available for issuance under the ESPP.</w:t>
      </w:r>
    </w:p>
    <w:p>
      <w:pPr>
        <w:spacing w:after="0" w:line="17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FAIR VALUE DISCLOSURES</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within an entity’s principal market, if any. The principal market is the market in which the reporting entity would sell the asset or transfer the liability with the greatest volume and level of activity, regardless of whether it is the market in which the entity will ultimately transact for a particular asset or liability or if a different market is potentially more advantageous. Accordingly, this exit price concept may result in a fair value that differs from the transaction price or market price of the asset or liability.</w:t>
      </w:r>
    </w:p>
    <w:p>
      <w:pPr>
        <w:spacing w:after="0" w:line="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ASC 820 provides a framework for measuring fair value under GAAP, expands disclosures about fair value measurements, and establishes a fair value hierarchy, which requires an entity to maximize the use of observable inputs and minimize the use of unobservable inputs when measuring fair value. The three levels of the fair value hierarchy are summarized as follows: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Fair value is based on quoted prices in active markets for identical assets or liabilities.</w:t>
      </w:r>
    </w:p>
    <w:p>
      <w:pPr>
        <w:spacing w:after="0" w:line="23" w:lineRule="exact"/>
        <w:rPr>
          <w:sz w:val="20"/>
          <w:szCs w:val="20"/>
          <w:color w:val="auto"/>
        </w:rPr>
      </w:pPr>
    </w:p>
    <w:p>
      <w:pPr>
        <w:ind w:left="420" w:right="2280"/>
        <w:spacing w:after="0" w:line="250"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significant observable inputs, generally either quoted prices in active markets for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or quoted prices in markets that are not active.</w:t>
      </w:r>
    </w:p>
    <w:p>
      <w:pPr>
        <w:spacing w:after="0" w:line="1" w:lineRule="exact"/>
        <w:rPr>
          <w:sz w:val="20"/>
          <w:szCs w:val="20"/>
          <w:color w:val="auto"/>
        </w:rPr>
      </w:pPr>
    </w:p>
    <w:p>
      <w:pPr>
        <w:ind w:left="420" w:right="2640"/>
        <w:spacing w:after="0" w:line="26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such as a pricing model, discounted cash flow, or similar technique.</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utilize fair value measurements to account for certain items and account balances within our consolidated financial statements. Fair value measurements may also be utilized on a nonrecurring basis, such as for the impairment of long-lived assets. The fair value of financial instruments, including cash and cash equivalents, accounts receivable and accounts payable, approximate their carrying amounts due to the short-term nature of these instruments. As of December 31, 2019, the Credit Agreement’s carrying value approximates market value since it has a floating interest rate, which increases or decreases with market interest rates and our leverage ratio.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08"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order to determine the fair value of the Convertible Notes and the Senior Notes listed below, the future contractual cash flows are discounted at our estimate of current market rates of interest, which were determined based upon the average interest rates of similar convertible notes and senior notes within the homebuilding industry (Level 2 measurement).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below shows the level and measurement of liabilities at December 31, 2019 and 2018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Pr>
          <w:p>
            <w:pPr>
              <w:spacing w:after="0"/>
              <w:rPr>
                <w:sz w:val="20"/>
                <w:szCs w:val="20"/>
                <w:color w:val="auto"/>
              </w:rPr>
            </w:pPr>
          </w:p>
        </w:tc>
        <w:tc>
          <w:tcPr>
            <w:tcW w:w="31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3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 Fair</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Estimated Fair</w:t>
            </w:r>
          </w:p>
        </w:tc>
      </w:tr>
      <w:tr>
        <w:trPr>
          <w:trHeight w:val="261"/>
        </w:trPr>
        <w:tc>
          <w:tcPr>
            <w:tcW w:w="3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Hierarchy</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Carrying Value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Carrying Value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10"/>
              <w:spacing w:after="0" w:line="262" w:lineRule="exact"/>
              <w:rPr>
                <w:sz w:val="20"/>
                <w:szCs w:val="20"/>
                <w:color w:val="auto"/>
              </w:rPr>
            </w:pPr>
            <w:r>
              <w:rPr>
                <w:rFonts w:ascii="Arial" w:cs="Arial" w:eastAsia="Arial" w:hAnsi="Arial"/>
                <w:sz w:val="18"/>
                <w:szCs w:val="18"/>
                <w:b w:val="1"/>
                <w:bCs w:val="1"/>
                <w:color w:val="auto"/>
              </w:rPr>
              <w:t>Value</w:t>
            </w:r>
            <w:r>
              <w:rPr>
                <w:rFonts w:ascii="Arial" w:cs="Arial" w:eastAsia="Arial" w:hAnsi="Arial"/>
                <w:sz w:val="25"/>
                <w:szCs w:val="25"/>
                <w:b w:val="1"/>
                <w:bCs w:val="1"/>
                <w:color w:val="auto"/>
                <w:vertAlign w:val="superscript"/>
              </w:rPr>
              <w:t>(1)</w:t>
            </w:r>
          </w:p>
        </w:tc>
      </w:tr>
      <w:tr>
        <w:trPr>
          <w:trHeight w:val="42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w:t>
            </w:r>
            <w:r>
              <w:rPr>
                <w:rFonts w:ascii="Arial" w:cs="Arial" w:eastAsia="Arial" w:hAnsi="Arial"/>
                <w:sz w:val="25"/>
                <w:szCs w:val="25"/>
                <w:b w:val="1"/>
                <w:bCs w:val="1"/>
                <w:color w:val="auto"/>
                <w:vertAlign w:val="superscript"/>
              </w:rPr>
              <w:t>(2)</w:t>
            </w: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67,787</w:t>
            </w:r>
          </w:p>
        </w:tc>
      </w:tr>
      <w:tr>
        <w:trPr>
          <w:trHeight w:val="405"/>
        </w:trPr>
        <w:tc>
          <w:tcPr>
            <w:tcW w:w="31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Level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296,028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337,853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295,352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296,905</w:t>
            </w:r>
          </w:p>
        </w:tc>
      </w:tr>
    </w:tbl>
    <w:p>
      <w:pPr>
        <w:spacing w:after="0" w:line="125" w:lineRule="exact"/>
        <w:rPr>
          <w:sz w:val="20"/>
          <w:szCs w:val="20"/>
          <w:color w:val="auto"/>
        </w:rPr>
      </w:pPr>
    </w:p>
    <w:p>
      <w:pPr>
        <w:ind w:left="540" w:hanging="316"/>
        <w:spacing w:after="0"/>
        <w:tabs>
          <w:tab w:leader="none" w:pos="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Excludes the fair value of the equity component of the Convertible Notes. See the “Convertible Notes” section within </w:t>
      </w:r>
      <w:hyperlink w:anchor="page61">
        <w:r>
          <w:rPr>
            <w:rFonts w:ascii="Arial" w:cs="Arial" w:eastAsia="Arial" w:hAnsi="Arial"/>
            <w:sz w:val="16"/>
            <w:szCs w:val="16"/>
            <w:u w:val="single" w:color="auto"/>
            <w:color w:val="0000EE"/>
          </w:rPr>
          <w:t>Note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w:t>
      </w:r>
    </w:p>
    <w:p>
      <w:pPr>
        <w:spacing w:after="0" w:line="113" w:lineRule="exact"/>
        <w:rPr>
          <w:rFonts w:ascii="Arial" w:cs="Arial" w:eastAsia="Arial" w:hAnsi="Arial"/>
          <w:sz w:val="16"/>
          <w:szCs w:val="16"/>
          <w:color w:val="auto"/>
        </w:rPr>
      </w:pPr>
    </w:p>
    <w:p>
      <w:pPr>
        <w:ind w:left="540" w:hanging="316"/>
        <w:spacing w:after="0"/>
        <w:tabs>
          <w:tab w:leader="none" w:pos="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Convertible Notes matured on November 15, 2019 and were repaid in full on such date.</w:t>
      </w:r>
    </w:p>
    <w:p>
      <w:pPr>
        <w:spacing w:after="0" w:line="212" w:lineRule="exact"/>
        <w:rPr>
          <w:rFonts w:ascii="Arial" w:cs="Arial" w:eastAsia="Arial" w:hAnsi="Arial"/>
          <w:sz w:val="16"/>
          <w:szCs w:val="16"/>
          <w:color w:val="auto"/>
        </w:rPr>
      </w:pPr>
    </w:p>
    <w:p>
      <w:pPr>
        <w:ind w:left="420" w:hanging="412"/>
        <w:spacing w:after="0"/>
        <w:tabs>
          <w:tab w:leader="none" w:pos="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Purchases from Affiliates</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December 31, 2019, we have two land purchase contracts to purchase a total of 198 finished lots in Pasco County and Manatee County, Florida from affiliates of one of our directors for a total base purchase price of approximately $6.9 million. The lots will be purchased in takedowns, subject to annual price escalation ranging from 3% to 6% per annum, and may provide for additional payments to the seller at the time of sale to the homebuyer. We have a $0.5 million non-refundable deposit at December 31, 2019 related to these land purchase contracts. We purchased the first takedown of 58 lots on the Pasco County contract during the twelve months ended December 31, 2019 for a base purchase price of approximately $2.1 million. We anticipate the first closing on the Manatee County contract and the second takedown on the Pasco County contract to occur in 2020.</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2018, we completed our commitments under a land purchase contract to purchase 106 finished lots in Montgomery County, Texas from an affiliate of a family member of our chief executive officer for a total base purchase price of approximately $8.0 million. The lots were purchased in takedowns of at least 21 lots during successive six-month periods, subject to 5% annual price escalation and certain price protection terms. During 2018, we purchased the final takedown of 22 lots under this land purchase contract for $1.8 million and a $100,000 non-refundable deposit related to this land purchase contract was applied to this takedown.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Sales to Affiliates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2017, we sold three homes to an affiliate of one of our directors for approximately $0.7 million.</w:t>
      </w:r>
    </w:p>
    <w:p>
      <w:pPr>
        <w:spacing w:after="0" w:line="22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employees are eligible to participate in a 401(k) savings plan. Employees are eligible to participate after completing 90 days of service and having attained the age of 21. Salary deferrals are allowed in amounts up to 100% of an eligible employee’s salary, not to exceed the maximum allowed by law. A discretionary match may be made by us of up to 100% of the first 4% of an eligible employee’s deferral, not to exceed the maximum allowed by law. For each of the years ended December 31, 2019, 2018 and 2017, our matching contributions were $2.9 million, $2.6 million and $1.8 million, respectively.</w:t>
      </w:r>
    </w:p>
    <w:p>
      <w:pPr>
        <w:spacing w:after="0" w:line="15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ordinary course of doing business, we are subject to claims or proceedings from time to time relating to the purchase, development, and sale of real estate and homes and other aspects of our homebuilding operations. Management believes that these claims include usual obligations incurred by real estate developers and residential home builders in the normal course of business. In the opinion of management, these matters will not have a material effect on our consolidated financial position, results of operations or cash flows.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provided unsecured environmental indemnities to certain lenders and other counterparties. In each case, we have performed due diligence on the potential environmental risks including obtaining an independent environmental review from outside environmental consultants. These indemnities obligate us to reimburse the guaranteed parties for damages related to environmental matters. There is no term or damage limitation on these indemnities; however, if an environmental matter arises, we may have recourse against other previous owners. In the ordinary course of doing business, we are subject to regulatory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proceedings from time to time related to environmental and other matters. In the opinion of management, these matters will not have a material effect on our consolidated financial position,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Deposits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land purchase contracts, generally through cash deposits, for the right to purchase land or lots at a future point in time with predetermined terms. We do not have title to the property, and obligations with respect to the land purchase contracts are generally limited to the forfeiture of the related nonrefundable cash deposits. The following is a summary of our land purchase deposits included in pre-acquisition costs and deposits (in thousands, except for lot count):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7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Land deposits and option payments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35,111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40,015</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Commitments under the land purchase contracts if the purchases are consummated</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539,122</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776,224</w:t>
            </w:r>
          </w:p>
        </w:tc>
      </w:tr>
      <w:tr>
        <w:trPr>
          <w:trHeight w:val="27"/>
        </w:trPr>
        <w:tc>
          <w:tcPr>
            <w:tcW w:w="7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Lots under land purchase contracts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16,205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22,820</w:t>
            </w:r>
          </w:p>
        </w:tc>
      </w:tr>
      <w:tr>
        <w:trPr>
          <w:trHeight w:val="41"/>
        </w:trPr>
        <w:tc>
          <w:tcPr>
            <w:tcW w:w="75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2019 and 2018, approximately $26.3 million and $25.2 million, respectively, of the land deposits are related to purchase contracts to deliver finished lots that are refundable under certain circumstances and secured by mortgages or letters of credit, or guaranteed by the seller or its affiliates.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Obligations</w:t>
      </w:r>
    </w:p>
    <w:p>
      <w:pPr>
        <w:spacing w:after="0" w:line="121" w:lineRule="exact"/>
        <w:rPr>
          <w:sz w:val="20"/>
          <w:szCs w:val="20"/>
          <w:color w:val="auto"/>
        </w:rPr>
      </w:pPr>
    </w:p>
    <w:p>
      <w:pPr>
        <w:jc w:val="both"/>
        <w:ind w:firstLine="405"/>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As described in the “Recently Adopted Accounting Standards” section within </w:t>
      </w:r>
      <w:hyperlink w:anchor="page54">
        <w:r>
          <w:rPr>
            <w:rFonts w:ascii="Arial" w:cs="Arial" w:eastAsia="Arial" w:hAnsi="Arial"/>
            <w:sz w:val="17"/>
            <w:szCs w:val="17"/>
            <w:u w:val="single" w:color="auto"/>
            <w:color w:val="0000EE"/>
          </w:rPr>
          <w:t>Note 2</w:t>
        </w:r>
      </w:hyperlink>
      <w:r>
        <w:rPr>
          <w:rFonts w:ascii="Arial" w:cs="Arial" w:eastAsia="Arial" w:hAnsi="Arial"/>
          <w:sz w:val="17"/>
          <w:szCs w:val="17"/>
          <w:color w:val="auto"/>
        </w:rPr>
        <w:t>, as of January 1, 2019, we adopted the provisions of ASU 2016-02 and recognized lease obligations and associated ROU assets for our existing non-cancelable leases. Our lease agreements do not contain any material residual value guarantees or material restrictive covenants. We have non-cancelable operating leases primarily associated with our corporate and regional office facilities. Operating lease expense is recognized on a straight-line basis over the lease term, subject to any changes in the lease or expectations regarding the terms. Variable lease costs such as common area costs and property taxes are expensed as incurred. Leases with an initial term of 12 months or less are not recorded on the balance sheet. The lease term may include options to extend or terminate the lease when it is reasonably certain that we will exercise that option. As our leases do not provide an implicit rate, we use our incremental borrowing rate based on the information available at commencement date in determining the present value of lease payments. ROU assets, as included in other assets on the consolidated balance sheets, were $5.3 million as of December 31, 2019. Lease obligations, as included in accrued expenses and other liabilities on the consolidated balance sheets, were $5.6 million as of December 31, 2019.</w:t>
      </w:r>
    </w:p>
    <w:p>
      <w:pPr>
        <w:spacing w:after="0" w:line="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Operating lease cost, as included in general and administrative expense in our consolidated statements of operations, totaled $1.3 million, $1.0 million and $1.0 million for the years ended December 31, 2019, 2018 and 2017, respectively. Cash paid for amounts included in the measurement of lease liabilities for operating leases during the year ended December 31, 2019 was $1.3 million. As of December 31, 2019, the weighted-average discount rate was 5.46% and our weighted-average remaining life was 7.2 years. We do not have any significant lease contracts that have not yet commenced at December 31, 2019.</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shows the future minimum payments under non-cancelable operating leases at December 31, 2019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6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Operating leases</w:t>
            </w:r>
          </w:p>
        </w:tc>
      </w:tr>
      <w:tr>
        <w:trPr>
          <w:trHeight w:val="48"/>
        </w:trPr>
        <w:tc>
          <w:tcPr>
            <w:tcW w:w="20" w:type="dxa"/>
            <w:vAlign w:val="bottom"/>
            <w:tcBorders>
              <w:bottom w:val="single" w:sz="8" w:color="CCEEFF"/>
            </w:tcBorders>
          </w:tcPr>
          <w:p>
            <w:pPr>
              <w:spacing w:after="0"/>
              <w:rPr>
                <w:sz w:val="4"/>
                <w:szCs w:val="4"/>
                <w:color w:val="auto"/>
              </w:rPr>
            </w:pPr>
          </w:p>
        </w:tc>
        <w:tc>
          <w:tcPr>
            <w:tcW w:w="2060" w:type="dxa"/>
            <w:vAlign w:val="bottom"/>
            <w:tcBorders>
              <w:top w:val="single" w:sz="8" w:color="auto"/>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54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44"/>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9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w:t>
            </w:r>
          </w:p>
        </w:tc>
      </w:tr>
      <w:tr>
        <w:trPr>
          <w:trHeight w:val="243"/>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19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1,095</w:t>
            </w: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9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r>
      <w:tr>
        <w:trPr>
          <w:trHeight w:val="243"/>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98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819</w:t>
            </w: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98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r>
      <w:tr>
        <w:trPr>
          <w:trHeight w:val="243"/>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2,239</w:t>
            </w:r>
          </w:p>
        </w:tc>
      </w:tr>
      <w:tr>
        <w:trPr>
          <w:trHeight w:val="27"/>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6,911</w:t>
            </w:r>
          </w:p>
        </w:tc>
      </w:tr>
      <w:tr>
        <w:trPr>
          <w:trHeight w:val="243"/>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Lease amount representing interest</w:t>
            </w:r>
          </w:p>
        </w:tc>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7"/>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5,645</w:t>
            </w:r>
          </w:p>
        </w:tc>
      </w:tr>
      <w:tr>
        <w:trPr>
          <w:trHeight w:val="75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80" w:type="dxa"/>
            <w:vAlign w:val="bottom"/>
          </w:tcPr>
          <w:p>
            <w:pPr>
              <w:jc w:val="right"/>
              <w:ind w:right="369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Letters of Credit</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outstanding letters of credit and performance and surety bonds totaling $108.7 million (including $11.6 million of letters of credit issued under the Credit Agreement) and $77.5 million at December 31, 2019 and 2018, respectively, related to our obligations for site improvements at various projects. Management does not believe that draws upon the letters of credit, surety bonds, or financial guarantees if any, will have a material effect on our consolidated financial position, results of operations, or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Entity</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became a limited partner in a real estate investment fund with a maximum $30.0 million commitment, commencing July 24, 2019. The term of the commitment is eight years and includes renewals of up to two additional years. For the year ended December 31, 2019, we have contributed a total of $1.1 million into the unconsolidated entity for the use of investing in certain real estate transactions.</w:t>
      </w:r>
    </w:p>
    <w:p>
      <w:pPr>
        <w:spacing w:after="0" w:line="200" w:lineRule="exact"/>
        <w:rPr>
          <w:sz w:val="20"/>
          <w:szCs w:val="20"/>
          <w:color w:val="auto"/>
        </w:rPr>
      </w:pPr>
    </w:p>
    <w:p>
      <w:pPr>
        <w:spacing w:after="0" w:line="30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operate one principal homebuilding business that is organized and reports by division. We have seven operating segments that we aggregate into five reportable segments at December 31, 2019: our Central, Northwest, Southeast, Florida, and West reportable segments. The Central reportable segment is our largest reportable segment and comprised approximately 39.4%, 41.5% and 42.4% of total home sales revenues for the years ended December 31, 2019, 2018 and 2017, respectively.</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In accordance with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operating segments are defined as components of an enterprise for which separate financial information is available that is evaluated regularly by the chief operating decision-makers (“CODMs”) in deciding how to allocate resources and in assessing performance. The CODMs primarily evaluate performance based on the number of homes closed, gross margin and average sales price.</w:t>
      </w:r>
    </w:p>
    <w:p>
      <w:pPr>
        <w:spacing w:after="0" w:line="5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seven operating segments qualify as our five reportable segments. In determining the most appropriate reportable segments, we consider operating segments’ economic and other characteristics, including home floor plans, average selling prices, gross margin percentage, geographical proximity, production construction processes, suppliers, subcontractors, regulatory environments, customer type, and underlying demand and supply. Each operating segment follows the same accounting policies and is managed by our management team. We have no inter-segment sales, as all sales are to external customers. Operating results for each segment may not be indicative of the results for such segment had it been an independent, stand-alone entity for the periods presented. Financial information relating to our reportable segments was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0" w:type="dxa"/>
            <w:vAlign w:val="bottom"/>
            <w:gridSpan w:val="6"/>
          </w:tcPr>
          <w:p>
            <w:pPr>
              <w:jc w:val="right"/>
              <w:ind w:right="310"/>
              <w:spacing w:after="0"/>
              <w:rPr>
                <w:sz w:val="20"/>
                <w:szCs w:val="20"/>
                <w:color w:val="auto"/>
              </w:rPr>
            </w:pPr>
            <w:r>
              <w:rPr>
                <w:rFonts w:ascii="Arial" w:cs="Arial" w:eastAsia="Arial" w:hAnsi="Arial"/>
                <w:sz w:val="18"/>
                <w:szCs w:val="18"/>
                <w:b w:val="1"/>
                <w:bCs w:val="1"/>
                <w:color w:val="auto"/>
                <w:w w:val="89"/>
              </w:rPr>
              <w:t>For the Year Ended December 31,</w:t>
            </w:r>
          </w:p>
        </w:tc>
        <w:tc>
          <w:tcPr>
            <w:tcW w:w="16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Central</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724,981</w:t>
            </w:r>
          </w:p>
        </w:tc>
        <w:tc>
          <w:tcPr>
            <w:tcW w:w="7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623,751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533,254</w:t>
            </w:r>
          </w:p>
        </w:tc>
      </w:tr>
      <w:tr>
        <w:trPr>
          <w:trHeight w:val="27"/>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Southeast</w:t>
            </w: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271,073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183,422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Northwest</w:t>
            </w:r>
          </w:p>
        </w:tc>
        <w:tc>
          <w:tcPr>
            <w:tcW w:w="1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277,567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215,421</w:t>
            </w:r>
          </w:p>
        </w:tc>
      </w:tr>
      <w:tr>
        <w:trPr>
          <w:trHeight w:val="27"/>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w:t>
            </w: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126,130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Florida</w:t>
            </w:r>
          </w:p>
        </w:tc>
        <w:tc>
          <w:tcPr>
            <w:tcW w:w="1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189,876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180,950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199,733</w:t>
            </w:r>
          </w:p>
        </w:tc>
      </w:tr>
      <w:tr>
        <w:trPr>
          <w:trHeight w:val="27"/>
        </w:trPr>
        <w:tc>
          <w:tcPr>
            <w:tcW w:w="4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home sales revenues</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1,838,154</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1,504,400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1,257,960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before income taxes:</w:t>
            </w: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Central</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117,350</w:t>
            </w:r>
          </w:p>
        </w:tc>
        <w:tc>
          <w:tcPr>
            <w:tcW w:w="7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104,625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89,133</w:t>
            </w:r>
          </w:p>
        </w:tc>
      </w:tr>
      <w:tr>
        <w:trPr>
          <w:trHeight w:val="27"/>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Southeast</w:t>
            </w: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Northwest</w:t>
            </w:r>
          </w:p>
        </w:tc>
        <w:tc>
          <w:tcPr>
            <w:tcW w:w="1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40,906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34,206</w:t>
            </w:r>
          </w:p>
        </w:tc>
      </w:tr>
      <w:tr>
        <w:trPr>
          <w:trHeight w:val="27"/>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w:t>
            </w: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Florida</w:t>
            </w:r>
          </w:p>
        </w:tc>
        <w:tc>
          <w:tcPr>
            <w:tcW w:w="1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21,341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25,687</w:t>
            </w:r>
          </w:p>
        </w:tc>
      </w:tr>
      <w:tr>
        <w:trPr>
          <w:trHeight w:val="27"/>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(1)</w:t>
            </w:r>
          </w:p>
        </w:tc>
        <w:tc>
          <w:tcPr>
            <w:tcW w:w="1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net income (loss) before income taxes</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231,832</w:t>
            </w:r>
          </w:p>
        </w:tc>
        <w:tc>
          <w:tcPr>
            <w:tcW w:w="7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199,098</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171,402</w:t>
            </w:r>
          </w:p>
        </w:tc>
      </w:tr>
      <w:tr>
        <w:trPr>
          <w:trHeight w:val="20"/>
        </w:trPr>
        <w:tc>
          <w:tcPr>
            <w:tcW w:w="47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hanging="4"/>
        <w:spacing w:after="0" w:line="275" w:lineRule="auto"/>
        <w:tabs>
          <w:tab w:leader="none" w:pos="8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Corporate balance consists primarily of general and administration unallocated costs for various shared service functions, as well as our warranty reserve and loss on extinguishment of debt. Actual warranty expenses are reflected within the reportable segments.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723"/>
        </w:trPr>
        <w:tc>
          <w:tcPr>
            <w:tcW w:w="136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820" w:type="dxa"/>
            <w:vAlign w:val="bottom"/>
          </w:tcPr>
          <w:p>
            <w:pPr>
              <w:spacing w:after="0"/>
              <w:rPr>
                <w:sz w:val="24"/>
                <w:szCs w:val="24"/>
                <w:color w:val="auto"/>
              </w:rPr>
            </w:pP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620" w:type="dxa"/>
            <w:vAlign w:val="bottom"/>
          </w:tcPr>
          <w:p>
            <w:pPr>
              <w:spacing w:after="0"/>
              <w:rPr>
                <w:sz w:val="23"/>
                <w:szCs w:val="23"/>
                <w:color w:val="auto"/>
              </w:rPr>
            </w:pPr>
          </w:p>
        </w:tc>
        <w:tc>
          <w:tcPr>
            <w:tcW w:w="202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2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2018</w:t>
            </w:r>
          </w:p>
        </w:tc>
      </w:tr>
      <w:tr>
        <w:trPr>
          <w:trHeight w:val="27"/>
        </w:trPr>
        <w:tc>
          <w:tcPr>
            <w:tcW w:w="13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Central</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637,083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569,409</w:t>
            </w: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Southeast</w:t>
            </w:r>
          </w:p>
        </w:tc>
        <w:tc>
          <w:tcPr>
            <w:tcW w:w="62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410,944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300,758</w:t>
            </w:r>
          </w:p>
        </w:tc>
      </w:tr>
      <w:tr>
        <w:trPr>
          <w:trHeight w:val="27"/>
        </w:trPr>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Northwest</w:t>
            </w:r>
          </w:p>
        </w:tc>
        <w:tc>
          <w:tcPr>
            <w:tcW w:w="6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221,132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200,443</w:t>
            </w: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West</w:t>
            </w:r>
          </w:p>
        </w:tc>
        <w:tc>
          <w:tcPr>
            <w:tcW w:w="62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193,545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161,514</w:t>
            </w:r>
          </w:p>
        </w:tc>
      </w:tr>
      <w:tr>
        <w:trPr>
          <w:trHeight w:val="27"/>
        </w:trPr>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Florida</w:t>
            </w:r>
          </w:p>
        </w:tc>
        <w:tc>
          <w:tcPr>
            <w:tcW w:w="6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149,877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106,398</w:t>
            </w:r>
          </w:p>
        </w:tc>
      </w:tr>
      <w:tr>
        <w:trPr>
          <w:trHeight w:val="270"/>
        </w:trPr>
        <w:tc>
          <w:tcPr>
            <w:tcW w:w="6060" w:type="dxa"/>
            <w:vAlign w:val="bottom"/>
            <w:tcBorders>
              <w:bottom w:val="single" w:sz="8" w:color="CCEEFF"/>
            </w:tcBorders>
            <w:gridSpan w:val="2"/>
          </w:tcPr>
          <w:p>
            <w:pPr>
              <w:ind w:left="180"/>
              <w:spacing w:after="0" w:line="27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(1)</w:t>
            </w:r>
          </w:p>
        </w:tc>
        <w:tc>
          <w:tcPr>
            <w:tcW w:w="6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53,534</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56,951</w:t>
            </w:r>
          </w:p>
        </w:tc>
      </w:tr>
      <w:tr>
        <w:trPr>
          <w:trHeight w:val="257"/>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1,666,115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1,395,473</w:t>
            </w:r>
          </w:p>
        </w:tc>
      </w:tr>
      <w:tr>
        <w:trPr>
          <w:trHeight w:val="20"/>
        </w:trPr>
        <w:tc>
          <w:tcPr>
            <w:tcW w:w="1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20" w:hanging="4"/>
        <w:spacing w:after="0" w:line="275" w:lineRule="auto"/>
        <w:tabs>
          <w:tab w:leader="none" w:pos="894" w:val="left"/>
        </w:tabs>
        <w:numPr>
          <w:ilvl w:val="1"/>
          <w:numId w:val="32"/>
        </w:numPr>
        <w:rPr>
          <w:rFonts w:ascii="Arial" w:cs="Arial" w:eastAsia="Arial" w:hAnsi="Arial"/>
          <w:sz w:val="16"/>
          <w:szCs w:val="16"/>
          <w:color w:val="auto"/>
        </w:rPr>
      </w:pPr>
      <w:r>
        <w:rPr>
          <w:rFonts w:ascii="Arial" w:cs="Arial" w:eastAsia="Arial" w:hAnsi="Arial"/>
          <w:sz w:val="16"/>
          <w:szCs w:val="16"/>
          <w:color w:val="auto"/>
        </w:rPr>
        <w:t>As of December 31, 2019, the Corporate balance consists primarily of cash, prepaid insurance, ROU assets and prepaid expenses. As of December 31, 2018, the Corporate balance consists primarily of cash, prepaid insurance and prepaid expenses.</w:t>
      </w:r>
    </w:p>
    <w:p>
      <w:pPr>
        <w:spacing w:after="0" w:line="164"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Quarterly results are as follows (in thousands,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First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Second</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Third</w:t>
            </w:r>
          </w:p>
        </w:tc>
        <w:tc>
          <w:tcPr>
            <w:tcW w:w="22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92"/>
              </w:rPr>
              <w:t>Fourth</w:t>
            </w:r>
          </w:p>
        </w:tc>
      </w:tr>
      <w:tr>
        <w:trPr>
          <w:trHeight w:val="230"/>
        </w:trPr>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Quarter</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Quarter</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88"/>
              </w:rPr>
              <w:t>Quarter</w:t>
            </w:r>
          </w:p>
        </w:tc>
      </w:tr>
      <w:tr>
        <w:trPr>
          <w:trHeight w:val="270"/>
        </w:trPr>
        <w:tc>
          <w:tcPr>
            <w:tcW w:w="6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r>
      <w:tr>
        <w:trPr>
          <w:trHeight w:val="27"/>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home sales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287,594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605,649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66,304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111,311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116,650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142,214</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49,349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64,870</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837"/>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First</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Second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92"/>
              </w:rPr>
              <w:t>Fourth</w:t>
            </w:r>
          </w:p>
        </w:tc>
      </w:tr>
      <w:tr>
        <w:trPr>
          <w:trHeight w:val="230"/>
        </w:trPr>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Quarter</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Quarter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Third Quarter</w:t>
            </w:r>
          </w:p>
        </w:tc>
        <w:tc>
          <w:tcPr>
            <w:tcW w:w="22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88"/>
              </w:rPr>
              <w:t>Quarter</w:t>
            </w:r>
          </w:p>
        </w:tc>
      </w:tr>
      <w:tr>
        <w:trPr>
          <w:trHeight w:val="270"/>
        </w:trPr>
        <w:tc>
          <w:tcPr>
            <w:tcW w:w="6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9"/>
              </w:rPr>
              <w:t>2018</w:t>
            </w:r>
          </w:p>
        </w:tc>
      </w:tr>
      <w:tr>
        <w:trPr>
          <w:trHeight w:val="27"/>
        </w:trPr>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home sales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425,160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109,765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97,334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103,558</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56,209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47,608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42,653</w:t>
            </w: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w:t>
            </w:r>
          </w:p>
        </w:tc>
      </w:tr>
    </w:tbl>
    <w:p>
      <w:pPr>
        <w:spacing w:after="0" w:line="337"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Quarterly and year-to-date computations of per share amounts are made independently. Therefore, the sum of per share amounts for the quarters may not agree with per share amounts for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08"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December 31, 2019. Based upon that evaluation, our Chief Executive Officer and Chief Financial Officer concluded that, our disclosure controls and procedures are effective to ensure information is recorded, processed, summarized and reported within the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of LGI Homes, Inc. (the “Company”) is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Exchange Act, to provide reasonable assurance to the Company’s management and board of directors regarding the reliability of financial reporting and the preparation of consolidated financial statements for external purposes in accordance with generally accepted accounting principles in the United States.</w:t>
      </w:r>
    </w:p>
    <w:p>
      <w:pPr>
        <w:spacing w:after="0" w:line="13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connection with respect to the preparation of the Company’s annual consolidated financial statements, and the processes under which they were prepared, management of the Company has undertaken an assessment of the effectiveness of the Company’s internal control over financial reporting based on criteria established in Internal Control - Integrated Framework issued by the Committee of Sponsoring Organizations of the Treadway Commission (the 2013 COSO framework). Management’s assessment included an evaluation of the design of the Company’s internal control over financial reporting and testing of the operational effectiveness of the Company’s internal control over financial reporting. Based on this assessment, management has concluded that the Company’s internal control over financial reporting was effective as of December 31, 2019.</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Annual Report on Form 10-K, has issued an attestation report on the effectiveness of the Company’s internal control over financial reporting which appears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change in our internal control over financial reporting as such term is defined in Exchange Act Rule 13a-15(f) occurred during the year ended December 31, 2019 that has materially affected, or is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LGI Homes,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have audited LGI Homes, Inc.'s internal control over financial reporting as of December 31, 2019, based on criteria established in Internal Control-Integrated Framework issued by the Committee of Sponsoring Organizations of the Treadway Commission (2013 framework), (the COSO criteria). In our opinion, LGI Homes, Inc. (the Company) maintained, in all material respects, effective internal control over financial reporting as of December 31, 2019, based on the COSO criteria.</w:t>
      </w:r>
    </w:p>
    <w:p>
      <w:pPr>
        <w:spacing w:after="0" w:line="187"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operations, equity and cash flows for each of the three years in the period ended December 31, 2019, and the related notes and our report dated February 25, 2020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u w:val="single" w:color="auto"/>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0"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405"/>
        <w:spacing w:after="0" w:line="259" w:lineRule="auto"/>
        <w:rPr>
          <w:rFonts w:ascii="Arial" w:cs="Arial" w:eastAsia="Arial" w:hAnsi="Arial"/>
          <w:sz w:val="18"/>
          <w:szCs w:val="18"/>
          <w:color w:val="auto"/>
        </w:rPr>
      </w:pPr>
      <w:r>
        <w:rPr>
          <w:rFonts w:ascii="Arial" w:cs="Arial" w:eastAsia="Arial" w:hAnsi="Arial"/>
          <w:sz w:val="18"/>
          <w:szCs w:val="18"/>
          <w:color w:val="auto"/>
        </w:rPr>
        <w:t>The information called for by Item 10, to the extent not set forth in “</w:t>
      </w:r>
      <w:hyperlink w:anchor="page4">
        <w:r>
          <w:rPr>
            <w:rFonts w:ascii="Arial" w:cs="Arial" w:eastAsia="Arial" w:hAnsi="Arial"/>
            <w:sz w:val="18"/>
            <w:szCs w:val="18"/>
            <w:u w:val="single" w:color="auto"/>
            <w:color w:val="0000EE"/>
          </w:rPr>
          <w:t>Business—Executive Officers</w:t>
        </w:r>
      </w:hyperlink>
      <w:r>
        <w:rPr>
          <w:rFonts w:ascii="Arial" w:cs="Arial" w:eastAsia="Arial" w:hAnsi="Arial"/>
          <w:sz w:val="18"/>
          <w:szCs w:val="18"/>
          <w:color w:val="auto"/>
        </w:rPr>
        <w:t xml:space="preserve">” in </w:t>
      </w:r>
      <w:hyperlink w:anchor="page4">
        <w:r>
          <w:rPr>
            <w:rFonts w:ascii="Arial" w:cs="Arial" w:eastAsia="Arial" w:hAnsi="Arial"/>
            <w:sz w:val="18"/>
            <w:szCs w:val="18"/>
            <w:u w:val="single" w:color="auto"/>
            <w:color w:val="0000EE"/>
          </w:rPr>
          <w:t>Item 1</w:t>
        </w:r>
      </w:hyperlink>
      <w:r>
        <w:rPr>
          <w:rFonts w:ascii="Arial" w:cs="Arial" w:eastAsia="Arial" w:hAnsi="Arial"/>
          <w:sz w:val="18"/>
          <w:szCs w:val="18"/>
          <w:color w:val="auto"/>
        </w:rPr>
        <w:t>, will be set forth in the definitive proxy statement relating to the 2020 annual meeting of stockholders of LGI Homes, Inc. pursuant to SEC Regulation 14A. Such definitive proxy statement relates to a meeting of stockholders involving the election of directors and the portions thereof called for by Item 10 are incorporated herein by reference pursuant to Instruction G to Form 10-K.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information called for by Item 11 will be set forth in the definitive proxy statement relating to the 2020 annual meeting of stockholders of LGI Homes, Inc. pursuant to SEC Regulation 14A. Such definitive proxy statement relates to a meeting of stockholders involving the election of directors and the portions thereof called for by Item 11 are incorporated herein by reference pursuant to Instruction G to Form 10-K.</w:t>
      </w:r>
    </w:p>
    <w:p>
      <w:pPr>
        <w:spacing w:after="0" w:line="17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information called for by Item 12 will be set forth in the definitive proxy statement relating to the 2020 annual meeting of stockholders of LGI Homes, Inc. pursuant to SEC Regulation 14A. Such definitive proxy statement relates to a meeting of stockholders involving the election of directors and the portions thereof called for by Item 12 are incorporated herein by reference pursuant to Instruction G to Form 10-K.</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RELATED TRANSACTIONS AND DIRECTOR INDEPENDENCE</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information called for by Item 13 will be set forth in the definitive proxy statement relating to the 2020 annual meeting of stockholders of LGI Homes, Inc. pursuant to SEC Regulation 14A. Such definitive proxy statement relates to a meeting of stockholders involving the election of directors and the portions thereof called for by Item 13 are incorporated herein by reference pursuant to Instruction G to Form 10-K.</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information called for by Item 14 will be set forth in the definitive proxy statement relating to the 2020 annual meeting of stockholders of LGI Homes, Inc. pursuant to SEC Regulation 14A. Such definitive proxy statement relates to a meeting of stockholders involving the election of directors and the portions thereof called for by Item 14 are incorporated herein by reference pursuant to Instruction G to Form 10-K.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STATEMENTS SCHEDULES</w:t>
      </w:r>
    </w:p>
    <w:p>
      <w:pPr>
        <w:spacing w:after="0" w:line="171" w:lineRule="exact"/>
        <w:rPr>
          <w:sz w:val="20"/>
          <w:szCs w:val="20"/>
          <w:color w:val="auto"/>
        </w:rPr>
      </w:pPr>
    </w:p>
    <w:p>
      <w:pPr>
        <w:ind w:left="620" w:hanging="585"/>
        <w:spacing w:after="0"/>
        <w:tabs>
          <w:tab w:leader="none" w:pos="6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Consolidated Financial Statements as set forth in Item 8 of this report are filed herein.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Financial Statements</w:t>
      </w:r>
    </w:p>
    <w:p>
      <w:pPr>
        <w:spacing w:after="0" w:line="67" w:lineRule="exact"/>
        <w:rPr>
          <w:sz w:val="20"/>
          <w:szCs w:val="20"/>
          <w:color w:val="auto"/>
        </w:rPr>
      </w:pPr>
    </w:p>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Report of Independent Registered Public Accounting Firm</w:t>
        </w:r>
      </w:hyperlink>
    </w:p>
    <w:p>
      <w:pPr>
        <w:spacing w:after="0" w:line="63" w:lineRule="exact"/>
        <w:rPr>
          <w:sz w:val="20"/>
          <w:szCs w:val="20"/>
          <w:color w:val="auto"/>
        </w:rPr>
      </w:pPr>
    </w:p>
    <w:p>
      <w:pPr>
        <w:ind w:left="1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Balance Sheets as of December 31, 2019 and 2018</w:t>
        </w:r>
      </w:hyperlink>
    </w:p>
    <w:p>
      <w:pPr>
        <w:spacing w:after="0" w:line="63" w:lineRule="exact"/>
        <w:rPr>
          <w:sz w:val="20"/>
          <w:szCs w:val="20"/>
          <w:color w:val="auto"/>
        </w:rPr>
      </w:pPr>
    </w:p>
    <w:p>
      <w:pPr>
        <w:ind w:left="1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Operations for the years ended December 31, 2019, 2018 and 2017</w:t>
        </w:r>
      </w:hyperlink>
    </w:p>
    <w:p>
      <w:pPr>
        <w:spacing w:after="0" w:line="63" w:lineRule="exact"/>
        <w:rPr>
          <w:sz w:val="20"/>
          <w:szCs w:val="20"/>
          <w:color w:val="auto"/>
        </w:rPr>
      </w:pPr>
    </w:p>
    <w:p>
      <w:pPr>
        <w:ind w:left="1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Consolidated Statements of Equity from December 31, 2016 to December 31, 2019</w:t>
        </w:r>
      </w:hyperlink>
    </w:p>
    <w:p>
      <w:pPr>
        <w:spacing w:after="0" w:line="63" w:lineRule="exact"/>
        <w:rPr>
          <w:sz w:val="20"/>
          <w:szCs w:val="20"/>
          <w:color w:val="auto"/>
        </w:rPr>
      </w:pPr>
    </w:p>
    <w:p>
      <w:pPr>
        <w:ind w:lef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Consolidated Statements of Cash Flows for the years ended December 31, 2019, 2018 and 2017</w:t>
        </w:r>
      </w:hyperlink>
    </w:p>
    <w:p>
      <w:pPr>
        <w:spacing w:after="0" w:line="63" w:lineRule="exact"/>
        <w:rPr>
          <w:sz w:val="20"/>
          <w:szCs w:val="20"/>
          <w:color w:val="auto"/>
        </w:rPr>
      </w:pPr>
    </w:p>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Notes to the Consolidated Financial Statements for the years ended December 31, 2019, 2018 and 2017</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hanging="585"/>
        <w:spacing w:after="0"/>
        <w:tabs>
          <w:tab w:leader="none" w:pos="6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4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All schedules are omitted because the required information is not present, in amounts sufficient to require submission of the schedule, or because the required information is included in the financial statements and related notes thereto.</w:t>
      </w:r>
    </w:p>
    <w:p>
      <w:pPr>
        <w:spacing w:after="0" w:line="200" w:lineRule="exact"/>
        <w:rPr>
          <w:sz w:val="20"/>
          <w:szCs w:val="20"/>
          <w:color w:val="auto"/>
        </w:rPr>
      </w:pPr>
    </w:p>
    <w:p>
      <w:pPr>
        <w:spacing w:after="0" w:line="250" w:lineRule="exact"/>
        <w:rPr>
          <w:sz w:val="20"/>
          <w:szCs w:val="20"/>
          <w:color w:val="auto"/>
        </w:rPr>
      </w:pPr>
    </w:p>
    <w:p>
      <w:pPr>
        <w:ind w:left="640" w:hanging="605"/>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exhibits filed or furnished as part of this annual report on Form 10-K are listed in the Index to Exhibits, which Index includes the management contracts or compensatory plans or arrangements required to be filed as exhibits to this Annual Report on Form 10-K by Item 601(b)(10)(iii) of Regulation S-K, and is incorporated in this Item by reference.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Description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0220" w:type="dxa"/>
            <w:vAlign w:val="bottom"/>
            <w:gridSpan w:val="19"/>
          </w:tcPr>
          <w:p>
            <w:pPr>
              <w:spacing w:after="0"/>
              <w:rPr>
                <w:rFonts w:ascii="Arial" w:cs="Arial" w:eastAsia="Arial" w:hAnsi="Arial"/>
                <w:sz w:val="18"/>
                <w:szCs w:val="18"/>
                <w:color w:val="0000FF"/>
                <w:w w:val="93"/>
              </w:rPr>
            </w:pPr>
            <w:hyperlink r:id="rId18">
              <w:r>
                <w:rPr>
                  <w:rFonts w:ascii="Arial" w:cs="Arial" w:eastAsia="Arial" w:hAnsi="Arial"/>
                  <w:sz w:val="18"/>
                  <w:szCs w:val="18"/>
                  <w:color w:val="0000FF"/>
                  <w:w w:val="93"/>
                </w:rPr>
                <w:t>Certificate of Incorporation of LGI Homes, Inc. (incorporated herein by reference to Exhibit 3.1 to the Registration Statement on Form S-1</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(Registration No. 333-190853) of LGI Homes, Inc. filed with the SEC on August 28, 2013).</w:t>
              </w:r>
            </w:hyperlink>
          </w:p>
        </w:tc>
        <w:tc>
          <w:tcPr>
            <w:tcW w:w="356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Bylaws of LGI Homes, Inc. (incorporated herein by reference to Exhibit 3.2 to the Registration Statement on Form S-1 (Registration No.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333-190853) of LGI Homes, Inc. filed with the SEC on August 28, 2013).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1"/>
                <w:szCs w:val="21"/>
                <w:color w:val="auto"/>
              </w:rPr>
            </w:pPr>
          </w:p>
        </w:tc>
        <w:tc>
          <w:tcPr>
            <w:tcW w:w="72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Description of Securities Registered Pursuant to Section 12 of the Securities Exchange Act of 1934.</w:t>
              </w:r>
            </w:hyperlink>
          </w:p>
        </w:tc>
        <w:tc>
          <w:tcPr>
            <w:tcW w:w="30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FF"/>
                <w:w w:val="97"/>
              </w:rPr>
            </w:pPr>
            <w:hyperlink r:id="rId20">
              <w:r>
                <w:rPr>
                  <w:rFonts w:ascii="Arial" w:cs="Arial" w:eastAsia="Arial" w:hAnsi="Arial"/>
                  <w:sz w:val="18"/>
                  <w:szCs w:val="18"/>
                  <w:color w:val="0000FF"/>
                  <w:w w:val="97"/>
                </w:rPr>
                <w:t>Indenture, dated as of July 6, 2018, among LGI Homes, Inc., the potential subsidiary guarantors listed therein and Wilmington Trust,</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National Association, as trustee (incorporated herein by reference to Exhibit 4.1 to the Current Report on Form 8-K (File No. 001-36126) of</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LGI Homes, Inc. filed with the SEC on July 6,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FF"/>
                <w:w w:val="94"/>
              </w:rPr>
            </w:pPr>
            <w:hyperlink r:id="rId21">
              <w:r>
                <w:rPr>
                  <w:rFonts w:ascii="Arial" w:cs="Arial" w:eastAsia="Arial" w:hAnsi="Arial"/>
                  <w:sz w:val="18"/>
                  <w:szCs w:val="18"/>
                  <w:color w:val="0000FF"/>
                  <w:w w:val="94"/>
                </w:rPr>
                <w:t>First Supplemental Indenture, dated as of July 6, 2018, among LGI Homes, Inc., the subsidiary guarantors listed therein and Wilmington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Trust, National Association, as trustee, governing LGI Homes, Inc.’s 6.875% Senior Notes due 2026, including the form of the senior notes</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4"/>
              </w:rPr>
            </w:pPr>
            <w:hyperlink r:id="rId21">
              <w:r>
                <w:rPr>
                  <w:rFonts w:ascii="Arial" w:cs="Arial" w:eastAsia="Arial" w:hAnsi="Arial"/>
                  <w:sz w:val="18"/>
                  <w:szCs w:val="18"/>
                  <w:color w:val="0000FF"/>
                  <w:w w:val="94"/>
                </w:rPr>
                <w:t>(incorporated herein by reference to Exhibit 4.2 to the Current Report on Form 8-K (File No. 001-36126) of LGI Homes, Inc. filed with the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SEC on July 6, 2018).</w:t>
              </w:r>
            </w:hyperlink>
          </w:p>
        </w:tc>
        <w:tc>
          <w:tcPr>
            <w:tcW w:w="860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Employment Agreement, dated as of November 13, 2018, between the Company and Eric Lipar, the Company’s Chief Executive Officer and</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Chairman of the Board (incorporated herein by reference to Exhibit 10.1 to the Current Report on Form 8-K (File No. 001-36126) of LGI</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Homes, Inc. filed with the SEC on November 16,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LGI Homes, Inc. Amended and Restated 2013 Equity Incentive Plan (incorporated herein by reference to Exhibit 10.1 to Amendment No. 1</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to the Registration Statement on Form S-1 (Registration No. 333-190853) of LGI Homes, Inc. filed with the SEC on May 9, 2017).</w:t>
              </w:r>
            </w:hyperlink>
          </w:p>
        </w:tc>
        <w:tc>
          <w:tcPr>
            <w:tcW w:w="7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FF"/>
                <w:w w:val="93"/>
              </w:rPr>
            </w:pPr>
            <w:hyperlink r:id="rId24">
              <w:r>
                <w:rPr>
                  <w:rFonts w:ascii="Arial" w:cs="Arial" w:eastAsia="Arial" w:hAnsi="Arial"/>
                  <w:sz w:val="18"/>
                  <w:szCs w:val="18"/>
                  <w:color w:val="0000FF"/>
                  <w:w w:val="93"/>
                </w:rPr>
                <w:t>LGI Homes, Inc. 2016 Employee Stock Purchase Plan (incorporated herein by reference to Exhibit 10.1 to the Registration Statement on</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Form S-8 (Registration No. 333-211843) of LGI Homes, Inc. filed with the SEC on June 3,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Fourth Amended and Restated Credit Agreement, dated as of May 6, 2019, by and among LGI Homes, Inc., each of the financial institutions</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initially a signatory thereto, and Wells Fargo Bank, National Association, as administrative agent, with Wells Fargo Securities, LLC, as sole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tcBorders>
              <w:bottom w:val="single" w:sz="8" w:color="0000FF"/>
            </w:tcBorders>
            <w:gridSpan w:val="19"/>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Lead Arranger and sole Bookrunner, and Fifth Third Bank and U.S. Bank, National Association, as Documentation Agents (incorporated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herein by reference to Exhibit 10.1 to the Quarterly Report on Form 10-Q for the quarter ended March 31, 2019 (File No. 001-36126) of LGI</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Homes, Inc. filed with the SEC on May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1"/>
                <w:szCs w:val="21"/>
                <w:color w:val="auto"/>
              </w:rPr>
            </w:pPr>
          </w:p>
        </w:tc>
        <w:tc>
          <w:tcPr>
            <w:tcW w:w="10220" w:type="dxa"/>
            <w:vAlign w:val="bottom"/>
            <w:tcBorders>
              <w:bottom w:val="single" w:sz="8" w:color="0000FF"/>
            </w:tcBorders>
            <w:gridSpan w:val="19"/>
          </w:tcPr>
          <w:p>
            <w:pPr>
              <w:spacing w:after="0"/>
              <w:rPr>
                <w:rFonts w:ascii="Arial" w:cs="Arial" w:eastAsia="Arial" w:hAnsi="Arial"/>
                <w:sz w:val="18"/>
                <w:szCs w:val="18"/>
                <w:color w:val="0000FF"/>
                <w:w w:val="93"/>
              </w:rPr>
            </w:pPr>
            <w:hyperlink r:id="rId26">
              <w:r>
                <w:rPr>
                  <w:rFonts w:ascii="Arial" w:cs="Arial" w:eastAsia="Arial" w:hAnsi="Arial"/>
                  <w:sz w:val="18"/>
                  <w:szCs w:val="18"/>
                  <w:color w:val="0000FF"/>
                  <w:w w:val="93"/>
                </w:rPr>
                <w:t>Lender Addition and Acknowledgement Agreement and First Amendment to Fourth Amended and Restated Credit Agreement dated as of</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December 6, 2019 by and among LGI Homes, Inc., Wells Fargo Bank, National Association, as an Increasing Lender and as Administrative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Agent, Fifth Third Bank, National Association, U.S. Bank National Association d/b/a Housing Capital Company, Bank of America, N.A.,</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BBVA USA fka Compass Bank, BMO Harris Bank N.A., Texas Capital Bank, National Association, Deutsche Bank AG New York Branch,</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tcBorders>
              <w:bottom w:val="single" w:sz="8" w:color="0000FF"/>
            </w:tcBorders>
            <w:gridSpan w:val="19"/>
          </w:tcPr>
          <w:p>
            <w:pPr>
              <w:spacing w:after="0" w:line="196"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Zions Bancorporation, N.A. DBA Amegy Bank, and Citizens Bank, N.A (incorporated herein by reference to Exhibit 10.1 to the Current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 xml:space="preserve">Report on Form 8-K (File No. 001-36126) of LGI Homes, Inc. </w:t>
              </w:r>
              <w:r>
                <w:rPr>
                  <w:rFonts w:ascii="Arial Unicode MS" w:cs="Arial Unicode MS" w:eastAsia="Arial Unicode MS" w:hAnsi="Arial Unicode MS"/>
                  <w:sz w:val="18"/>
                  <w:szCs w:val="18"/>
                  <w:color w:val="0000FF"/>
                </w:rPr>
                <w:t></w:t>
              </w:r>
              <w:r>
                <w:rPr>
                  <w:rFonts w:ascii="Arial" w:cs="Arial" w:eastAsia="Arial" w:hAnsi="Arial"/>
                  <w:sz w:val="18"/>
                  <w:szCs w:val="18"/>
                  <w:color w:val="0000FF"/>
                </w:rPr>
                <w:t>led with the SEC on December 11, 2019).</w:t>
              </w:r>
            </w:hyperlink>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1"/>
                <w:szCs w:val="21"/>
                <w:color w:val="auto"/>
              </w:rPr>
            </w:pPr>
          </w:p>
        </w:tc>
        <w:tc>
          <w:tcPr>
            <w:tcW w:w="7660" w:type="dxa"/>
            <w:vAlign w:val="bottom"/>
            <w:tcBorders>
              <w:top w:val="single" w:sz="8" w:color="0000FF"/>
            </w:tcBorders>
            <w:gridSpan w:val="1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List of Subsidiaries of LGI Homes, Inc.</w:t>
              </w:r>
            </w:hyperlink>
          </w:p>
        </w:tc>
        <w:tc>
          <w:tcPr>
            <w:tcW w:w="25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20" w:type="dxa"/>
            <w:vAlign w:val="bottom"/>
            <w:gridSpan w:val="19"/>
            <w:vMerge w:val="restart"/>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Consent of Independent Registered Public Accounting Firm</w:t>
              </w:r>
            </w:hyperlink>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2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570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85">
              <w:r>
                <w:rPr>
                  <w:rFonts w:ascii="Arial" w:cs="Arial" w:eastAsia="Arial" w:hAnsi="Arial"/>
                  <w:sz w:val="18"/>
                  <w:szCs w:val="18"/>
                  <w:color w:val="0000FF"/>
                  <w:w w:val="91"/>
                </w:rPr>
                <w:t>CEO Certification, Pursuant to Section 302 of the Sarbanes-Oxley Act of 2002</w:t>
              </w:r>
            </w:hyperlink>
          </w:p>
        </w:tc>
        <w:tc>
          <w:tcPr>
            <w:tcW w:w="4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1"/>
                <w:szCs w:val="21"/>
                <w:color w:val="auto"/>
              </w:rPr>
            </w:pPr>
          </w:p>
        </w:tc>
        <w:tc>
          <w:tcPr>
            <w:tcW w:w="56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86">
              <w:r>
                <w:rPr>
                  <w:rFonts w:ascii="Arial" w:cs="Arial" w:eastAsia="Arial" w:hAnsi="Arial"/>
                  <w:sz w:val="18"/>
                  <w:szCs w:val="18"/>
                  <w:color w:val="0000FF"/>
                  <w:w w:val="91"/>
                </w:rPr>
                <w:t>CFO Certification, Pursuant to Section 302 of the Sarbanes-Oxley Act of 2002</w:t>
              </w:r>
            </w:hyperlink>
          </w:p>
        </w:tc>
        <w:tc>
          <w:tcPr>
            <w:tcW w:w="454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1"/>
                <w:szCs w:val="21"/>
                <w:color w:val="auto"/>
              </w:rPr>
            </w:pPr>
          </w:p>
        </w:tc>
        <w:tc>
          <w:tcPr>
            <w:tcW w:w="87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Certification Pursuant to 18 U.S.C. Section 1350, as adopted Pursuant to Section 906 of the Sarbanes-Oxley Act of 2002</w:t>
              </w:r>
            </w:hyperlink>
          </w:p>
        </w:tc>
        <w:tc>
          <w:tcPr>
            <w:tcW w:w="15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1"/>
                <w:szCs w:val="21"/>
                <w:color w:val="auto"/>
              </w:rPr>
            </w:pPr>
          </w:p>
        </w:tc>
        <w:tc>
          <w:tcPr>
            <w:tcW w:w="87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88">
              <w:r>
                <w:rPr>
                  <w:rFonts w:ascii="Arial" w:cs="Arial" w:eastAsia="Arial" w:hAnsi="Arial"/>
                  <w:sz w:val="18"/>
                  <w:szCs w:val="18"/>
                  <w:color w:val="0000FF"/>
                  <w:w w:val="90"/>
                </w:rPr>
                <w:t>Certification Pursuant to 18 U.S.C. Section 1350, as adopted Pursuant to Section 906 of the Sarbanes-Oxley Act of 2002</w:t>
              </w:r>
            </w:hyperlink>
          </w:p>
        </w:tc>
        <w:tc>
          <w:tcPr>
            <w:tcW w:w="15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Date File because its XBRL tags are embedded</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20" w:type="dxa"/>
            <w:vAlign w:val="bottom"/>
            <w:gridSpan w:val="1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8"/>
                <w:szCs w:val="18"/>
                <w:color w:val="auto"/>
              </w:rPr>
              <w:t>104†</w:t>
            </w:r>
          </w:p>
        </w:tc>
        <w:tc>
          <w:tcPr>
            <w:tcW w:w="10220" w:type="dxa"/>
            <w:vAlign w:val="bottom"/>
            <w:gridSpan w:val="1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40" w:hanging="805"/>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5620" w:right="2480" w:hanging="5585"/>
        <w:spacing w:after="0" w:line="810" w:lineRule="auto"/>
        <w:tabs>
          <w:tab w:leader="none" w:pos="8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 76</w:t>
      </w:r>
    </w:p>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840"/>
        <w:spacing w:after="0" w:line="291" w:lineRule="auto"/>
        <w:rPr>
          <w:sz w:val="20"/>
          <w:szCs w:val="20"/>
          <w:color w:val="auto"/>
        </w:rPr>
      </w:pPr>
      <w:r>
        <w:rPr>
          <w:rFonts w:ascii="Arial" w:cs="Arial" w:eastAsia="Arial" w:hAnsi="Arial"/>
          <w:sz w:val="16"/>
          <w:szCs w:val="16"/>
          <w:color w:val="auto"/>
        </w:rPr>
        <w:t>XBRL information is deemed not filed or a part of a registration statement or Annual Report for purposes of Sections 11 and 12 of the Securities Act of 1933, as amended, is deemed not filed for purposes of Section 18 of the Securities Exchange Act of 1934, as amended, and otherwise is</w:t>
      </w:r>
    </w:p>
    <w:p>
      <w:pPr>
        <w:ind w:left="840" w:hanging="805"/>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subject to liability under such sections.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LGI Homes, Inc.</w:t>
      </w:r>
    </w:p>
    <w:p>
      <w:pPr>
        <w:spacing w:after="0" w:line="360" w:lineRule="exact"/>
        <w:rPr>
          <w:sz w:val="20"/>
          <w:szCs w:val="20"/>
          <w:color w:val="auto"/>
        </w:rPr>
      </w:pPr>
    </w:p>
    <w:p>
      <w:pPr>
        <w:ind w:left="40"/>
        <w:spacing w:after="0"/>
        <w:tabs>
          <w:tab w:leader="none" w:pos="1060" w:val="left"/>
          <w:tab w:leader="none" w:pos="6520" w:val="left"/>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Eric Lipar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 and Chairman of the Board</w:t>
      </w:r>
    </w:p>
    <w:p>
      <w:pPr>
        <w:spacing w:after="0" w:line="200" w:lineRule="exact"/>
        <w:rPr>
          <w:sz w:val="20"/>
          <w:szCs w:val="20"/>
          <w:color w:val="auto"/>
        </w:rPr>
      </w:pPr>
    </w:p>
    <w:p>
      <w:pPr>
        <w:spacing w:after="0" w:line="21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280" w:type="dxa"/>
            <w:vAlign w:val="bottom"/>
            <w:gridSpan w:val="3"/>
          </w:tcPr>
          <w:p>
            <w:pPr>
              <w:ind w:left="1820"/>
              <w:spacing w:after="0"/>
              <w:rPr>
                <w:sz w:val="20"/>
                <w:szCs w:val="20"/>
                <w:color w:val="auto"/>
              </w:rPr>
            </w:pPr>
            <w:r>
              <w:rPr>
                <w:rFonts w:ascii="Arial" w:cs="Arial" w:eastAsia="Arial" w:hAnsi="Arial"/>
                <w:sz w:val="18"/>
                <w:szCs w:val="18"/>
                <w:b w:val="1"/>
                <w:bCs w:val="1"/>
                <w:color w:val="auto"/>
              </w:rPr>
              <w:t>Title</w:t>
            </w:r>
          </w:p>
        </w:tc>
        <w:tc>
          <w:tcPr>
            <w:tcW w:w="136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6"/>
        </w:trPr>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and Chairman of the</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 Eric Lipar</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Board</w:t>
            </w:r>
          </w:p>
        </w:tc>
        <w:tc>
          <w:tcPr>
            <w:tcW w:w="220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February 25, 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Eric T. Lipar</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94"/>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 Charles Merdian</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and Treasurer</w:t>
            </w:r>
          </w:p>
        </w:tc>
        <w:tc>
          <w:tcPr>
            <w:tcW w:w="220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February 25, 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Charles Merdian</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94"/>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 Ryan Edone</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February 25, 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Ryan Edone</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94"/>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 Duncan Gage</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February 25, 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Duncan Gage</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94"/>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 Laura Miller</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February 25, 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Laura Miller</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94"/>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 Bryan Sansbury</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February 25, 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Bryan Sansbury</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94"/>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 Steven Smith</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February 25, 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Steven Smith</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94"/>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 Robert Vaharadian</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00" w:type="dxa"/>
            <w:vAlign w:val="bottom"/>
            <w:gridSpan w:val="3"/>
          </w:tcPr>
          <w:p>
            <w:pPr>
              <w:jc w:val="center"/>
              <w:ind w:left="790"/>
              <w:spacing w:after="0"/>
              <w:rPr>
                <w:sz w:val="20"/>
                <w:szCs w:val="20"/>
                <w:color w:val="auto"/>
              </w:rPr>
            </w:pPr>
            <w:r>
              <w:rPr>
                <w:rFonts w:ascii="Arial" w:cs="Arial" w:eastAsia="Arial" w:hAnsi="Arial"/>
                <w:sz w:val="18"/>
                <w:szCs w:val="18"/>
                <w:color w:val="auto"/>
                <w:w w:val="89"/>
              </w:rPr>
              <w:t>February 25, 2020</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Robert Vaharadian</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80"/>
          </w:cols>
          <w:pgMar w:left="240" w:top="121" w:right="27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of February 25, 2020, LGI Homes, Inc., a Delaware corporation (the “Company”), had one class of securities registered under Section 12 of the Securities Exchange Act of 1934, as amended: common stock, par value $0.01 per share (“common stock”). The following contains a description of our common stock, as well as certain related additional information. This description is a summary only and does not purport to be complete. We encourage you to read the complete text of the Company’s certificate of incorporation and bylaws, which we have incorporated by reference as exhibits to the Company’s Annual Report on Form 10-K. References to “we,” “our” and “us” refer to the Company, unless the context otherwise requires.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February 25, 2020, our authorized capital stock consists of 250 million shares of common stock, of which 25,359,409 shares of common stock were issued and outstanding as of February 21, 2020, and five million shares of preferred stock, par value $0.01 per share (“preferred stock”), of which no shares were issued and outstanding as of February 25,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Holders of our common stock are entitled to one vote for each share held in the election of directors and on all other matters submitted to a vote of our stockholders.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our bylaws, unless otherwise provided by law, our certificate of incorporation or our bylaws, the authorization of each matter (other than the election of directors) at any meeting of our stockholders at which a quorum is present shall be decided by the vote of the majority of shares entitled to vote on such matter which are present in person or by proxy at such meeting. Under our bylaws, unless otherwise provided by our certificate of incorporation, our directors shall be elected by a plurality of the votes cast in the election of directors.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Cumulative voting of shares of our common stock is prohibited. Accordingly, holders of a majority of the shares of our common stock entitled to vote in any election of directors may elect all of the directors standing for election.</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Subject to the prior rights of the holders of any outstanding preferred stock, holders of our common stock are entitled to receive and share equally in all dividends when, as and if declared by our board of directors out of funds legally available therefor. Upon the liquidation, dissolution or winding up of the Company, the holders of our common stock are entitled to receive ratably the assets of the Company remaining after satisfaction of all liabilities and of the prior rights of any outstanding class of our preferred stock. Holders of our common stock have no preemptive, subscription, redemption or conversion rights and are not subject to further calls or assessments by us. There are no sinking fund provisions applicable to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and Bylaw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board of directors must consist of at least three directors. The exact number of directors will be fixed from time to time by resolution of our board of directors. Each director will serve as a director until the next annual meeting of stockholders and until such director’s successor is duly elected and qualified or, if earlier, such director’s death, resignation or removal.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certificate of incorporation provides that special meetings of our stockholders may be called only by the chairman of our board of directors, the chief executive officer (or if there is no chief executive officer, the president) or by a resolution of a majority of the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certificate of incorporation provides that holders of our common stock will not be able to act by written consent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our certificate of incorporation may be amended in the manner prescribed by the laws of the State of Delaware.</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bylaws may generally be altered, amended or repealed, and new bylaws may be adopted, by the majority vote of our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Limitations on Stockholder 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also impose some procedural requirements on stockholders who wish to:</w:t>
      </w:r>
    </w:p>
    <w:p>
      <w:pPr>
        <w:spacing w:after="0" w:line="22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propose any repeal or change in our bylaws;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Under these procedural requirements, in order to bring a proposal before an annual meeting of stockholders, a stockholder must deliver timely notice of a proposal pertaining to a proper subject for presentation at the meeting to our secretary along with the following:</w:t>
      </w:r>
    </w:p>
    <w:p>
      <w:pPr>
        <w:spacing w:after="0" w:line="170" w:lineRule="exact"/>
        <w:rPr>
          <w:sz w:val="20"/>
          <w:szCs w:val="20"/>
          <w:color w:val="auto"/>
        </w:rPr>
      </w:pPr>
    </w:p>
    <w:p>
      <w:pPr>
        <w:ind w:left="980" w:right="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description of the proposal or business to be brought before the meeting (including the complete text of any resolutions to be presented, and, in the event that such business includes a proposal to amend the bylaws, the text of the proposed amendment);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reasons for conducting such business at the meeting;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material interest in such business of the stockholder or any Stockholder Associated Person (as defined in our bylaws);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and address of any other stockholder known by such stockholder to be supporting the proposal;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our bylaws) of such stockholder and any Stockholder Associated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225" w:lineRule="exact"/>
        <w:rPr>
          <w:sz w:val="20"/>
          <w:szCs w:val="20"/>
          <w:color w:val="auto"/>
        </w:rPr>
      </w:pPr>
    </w:p>
    <w:p>
      <w:pPr>
        <w:ind w:left="980" w:right="160" w:hanging="324"/>
        <w:spacing w:after="0" w:line="291"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connection with an annual meeting of stockholders, not less than 90 days nor more than 120 days prior to the first anniversary of the date on which the Company first mailed its proxy materials or a notice of availability of proxy materials (whichever is earlier) for the immediately preceding year’s annual meeting of stockholders, but in the event that no annual meeting of stockholders was held in the previous year or the annual meeting of stockholders is called for a date that is not within 30 days from the first anniversary of the immediately preceding year’s annual meeting date, a stockholder notice will be timely if received by us not earlier than the 120th day before the date of such annual meeting and not later than the later of the 90th day before the date of such annual meeting, as originally convened, or the close of business on the tenth day following the day on which the first public disclosure of the date of such annual meeting was made; or</w:t>
      </w:r>
    </w:p>
    <w:p>
      <w:pPr>
        <w:spacing w:after="0" w:line="167" w:lineRule="exact"/>
        <w:rPr>
          <w:rFonts w:ascii="Arial" w:cs="Arial" w:eastAsia="Arial" w:hAnsi="Arial"/>
          <w:sz w:val="16"/>
          <w:szCs w:val="16"/>
          <w:color w:val="auto"/>
        </w:rPr>
      </w:pPr>
    </w:p>
    <w:p>
      <w:pPr>
        <w:ind w:left="980" w:right="16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not later than the close of business on the tenth day following the day on which the first public disclosure of the date of such special meeting was made.</w:t>
      </w:r>
    </w:p>
    <w:p>
      <w:pPr>
        <w:spacing w:after="0" w:line="170"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order to submit a nomination for our board of directors, a stockholder must also submit any information with respect to the nominee that we would be required to include in a proxy statement, as well as certain other information specified in our bylaws. If a stockholder fails to follow the required procedures, the stockholder’s proposal or nominee will be ineligible and will not be voted on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Preferred Stock</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board of directors is authorized, without any further notice or action of our stockholders, to issue up to five million shares of our preferred stock in one or more series and to determine the relative rights, preferences and privileges of the shares of any such series.</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issuance of preferred stock, while providing us with flexibility in connection with possible acquisitions and other transactions, could adversely affect the voting power of holders of our common stock. It could also affect the likelihood that holders of our common stock will receive dividend payments and payments upon liquidation.</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issuance of shares of preferred stock, or the issuance of rights to purchase shares of preferred stock, could be used to discourage an attempt to obtain control of our company. For example, if, in the exercise of its fiduciary obligations, our board of directors were to determine that a takeover proposal was not in the best interest of our stockholders, our board of directors could authorize the issuance of a series of preferred stock containing class voting rights that would enable the holder or holders of this series to prevent a change of control transaction or make it more difficult. Alternatively, a change of control transaction deemed by our board of directors to be in the best interest of our stockholders could be facilitated by issuing a series of preferred stock having sufficient voting rights to provide a required percentage vote of the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Liability and Indemnification of Officers and Directors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Our certificate of incorporation and our bylaws provide for indemnification of our officers and directors to the fullest extent permitted by Delaware law. Our certificate of incorporation and our bylaws limit the liability of our directors for monetary damages to the fullest extent permitted by Delaware law. Currently, Delaware law requires that liability be imposed for the following:</w:t>
      </w:r>
    </w:p>
    <w:p>
      <w:pPr>
        <w:spacing w:after="0" w:line="181"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(the “DGCL”);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maintain directors’ and officers’ liability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Effects of Provisions of Our Certificate of Incorporation, Our Bylaws and Delaware Law</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Some provisions of Delaware law and our certificate of incorporation and our bylaws contain provisions that could have the effect of delaying, deterring or preventing another party from acquiring or seeking to acquire control of us. These provisions are intended to discourage certain types of coercive takeover practices and inadequate takeover bids and to encourage anyone seeking to acquire control of us to negotiate first with our board of directors. However, these provisions may also delay, deter or prevent a change in control or other takeover of the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certificate of incorporation and our bylaws include anti-takeover provisions that:</w:t>
      </w:r>
    </w:p>
    <w:p>
      <w:pPr>
        <w:spacing w:after="0" w:line="225" w:lineRule="exact"/>
        <w:rPr>
          <w:sz w:val="20"/>
          <w:szCs w:val="20"/>
          <w:color w:val="auto"/>
        </w:rPr>
      </w:pPr>
    </w:p>
    <w:p>
      <w:pPr>
        <w:jc w:val="both"/>
        <w:ind w:left="980" w:right="26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 our board of directors, without further action by our stockholders, to issue up to five million shares of our preferred stock in one or more series, and with respect to each series, to fix the number of shares constituting that series and establish the rights and other terms of that series;</w:t>
      </w:r>
    </w:p>
    <w:p>
      <w:pPr>
        <w:spacing w:after="0" w:line="181"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actions to be taken by our stockholders may be taken only at an annual or special meeting of our stockholders and not by written consent;</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our chief executive officer or our president (if we do not have a chief executive officer);</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procedures for our stockholders to submit nominations of candidates for election to our board of directors and other proposals to be brought before a stockholders meeting;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our bylaws may be amended by our board of directors without stockholder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our directors to establish the size of our board of directors by action of the board of directors, subject to a</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minimum of three members;</w:t>
      </w:r>
    </w:p>
    <w:p>
      <w:pPr>
        <w:spacing w:after="0" w:line="225" w:lineRule="exact"/>
        <w:rPr>
          <w:sz w:val="20"/>
          <w:szCs w:val="20"/>
          <w:color w:val="auto"/>
        </w:rPr>
      </w:pPr>
    </w:p>
    <w:p>
      <w:pPr>
        <w:ind w:left="980" w:right="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or newly created directorships resulting from an increase in the number of our directors may be filled only by vote of a majority of directors then in office, even though less than a quorum;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 not give the holders of our common stock cumulative voting rights with respect to the election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are a Delaware corporation and are subject to Section 203 of the DGCL. Section 203 of the DGCL provides that we may not engage in a broad range of “business combinations” with any “interested stockholder” for a three-year period following the time that the person became an interested stockholder, unless:</w:t>
      </w:r>
    </w:p>
    <w:p>
      <w:pPr>
        <w:spacing w:after="0" w:line="181" w:lineRule="exact"/>
        <w:rPr>
          <w:sz w:val="20"/>
          <w:szCs w:val="20"/>
          <w:color w:val="auto"/>
        </w:rPr>
      </w:pPr>
    </w:p>
    <w:p>
      <w:pPr>
        <w:ind w:left="980" w:right="5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the time that person became an interested stockholder, our board of directors had approved either the business combination or the transaction that resulted in the person becoming an interested stockholder;</w:t>
      </w:r>
    </w:p>
    <w:p>
      <w:pPr>
        <w:spacing w:after="0" w:line="170" w:lineRule="exact"/>
        <w:rPr>
          <w:rFonts w:ascii="Arial" w:cs="Arial" w:eastAsia="Arial" w:hAnsi="Arial"/>
          <w:sz w:val="18"/>
          <w:szCs w:val="18"/>
          <w:color w:val="auto"/>
        </w:rPr>
      </w:pPr>
    </w:p>
    <w:p>
      <w:pPr>
        <w:ind w:left="980" w:right="16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person becoming an interested stockholder, the interested stockholder owned at least 85% of our voting stock outstanding at the time the transaction commenced, excluding shares owned by persons who are directors and also officers and shares owned in employee stock plans in which participants do not have the right to determine confidentially whether shares held subject to the plan will be tendered in a tender or exchange offer; or</w:t>
      </w:r>
    </w:p>
    <w:p>
      <w:pPr>
        <w:spacing w:after="0" w:line="186"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 or subsequent to the time the person became an interested stockholder, the business combination is approved by our board of directors and by the affirmative vote of at least 66 2/3% of our outstanding voting stock which is not owned by the interested stockholder.</w:t>
      </w:r>
    </w:p>
    <w:p>
      <w:pPr>
        <w:spacing w:after="0" w:line="14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Generally, a business combination includes a merger, consolidation,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However, in our case, Messrs. Eric and Tom Lipar and any of their respective permitted transferees receiving 15% or more of our voting stock, will not be deemed to be interested stockholders regardless of the percentage of our voting stock owned by them. Under Section 203 of the DGCL,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Section 203 of the DGCL could prohibit or delay mergers or other takeover or change in control attempts with respect to us and, accordingly, may discourage attempts to acquire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Unissued Shares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certificate of incorporation does not preclude the future issuance without stockholder approval of our authorized and unissued shares of common stock. The existence of authorized but unissued shares of our common stock could render more difficult or discourage an attempt to obtain control of us by means of a proxy contest, tender offer, merger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“LGIH.”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LGI HOMES, INC.</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LGI HOMES GROUP,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DECKER OAKS,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E SAN ANTONIO,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FW,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GEORGIA, LLC, a Georgia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LAKES OF MAGNOLIA,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PRESIDENTIAL GLEN,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QUAIL RUN,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SALTGRASS,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STEWARTS FOREST,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TEXAS,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WINDMILL FARMS,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WOODLAND CREEK,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AZ CONSTRUCTION, LLC, an Arizona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AZ SALES, LLC, an Arizona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ARIZONA, LLC, an Arizona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FLORIDA, LLC, a Florida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GLENNWILDE, LLC, an Arizona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SAN TAN HEIGHTS, LLC, an Arizona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NEW MEXICO, LLC, a New Mexico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NM CONSTRUCTION, LLC, a New Mexico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COLORADO, LLC, a Colorado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NC, LLC, a North Carolina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SC, LLC, a South Carolina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FUND III HOLDINGS,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CROWLEY LAND PARTNERS,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AVONDALE, LLC, a Georgia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MAPLE PARK, LLC, a Georgia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MAPLE LEAF,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SHALE CREEK,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STERLING LAKES PARTNERS,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CORPORATE,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SERVICES,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LUCKEY RANCH,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MALLARD CROSSING,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WEST MEADOWS,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OAK HOLLOW,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SONTERRA,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BLUE HILLS, LLC, an Arizona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KRENSON WOODS,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NORTHPOINTE,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OAK HOLLOW PHASE 6,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SALTGRASS CROSSING,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LUCKEY RANCH PARTNERS, LLC, a Delaware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CANYON CROSSING,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DEER CREEK,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II,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SUNRISE MEADOW,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RIVERCHASE ESTATES PARTNERS, LLC, a South Carolina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REALTY LLC, a Georgia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LGI HOMES – TENNESSEE, LLC, a Tennessee limited liability company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LGI HOMES – WASHINGTON, LLC</w:t>
      </w:r>
      <w:r>
        <w:rPr>
          <w:rFonts w:ascii="Arial" w:cs="Arial" w:eastAsia="Arial" w:hAnsi="Arial"/>
          <w:sz w:val="18"/>
          <w:szCs w:val="18"/>
          <w:color w:val="auto"/>
        </w:rPr>
        <w:t>,</w:t>
      </w:r>
      <w:r>
        <w:rPr>
          <w:rFonts w:ascii="Arial" w:cs="Arial" w:eastAsia="Arial" w:hAnsi="Arial"/>
          <w:sz w:val="16"/>
          <w:szCs w:val="16"/>
          <w:color w:val="auto"/>
        </w:rPr>
        <w:t xml:space="preserve"> a Washington limited liability company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LGI REALTY – WASHINGTON, LLC</w:t>
      </w:r>
      <w:r>
        <w:rPr>
          <w:rFonts w:ascii="Arial" w:cs="Arial" w:eastAsia="Arial" w:hAnsi="Arial"/>
          <w:sz w:val="18"/>
          <w:szCs w:val="18"/>
          <w:color w:val="auto"/>
        </w:rPr>
        <w:t>,</w:t>
      </w:r>
      <w:r>
        <w:rPr>
          <w:rFonts w:ascii="Arial" w:cs="Arial" w:eastAsia="Arial" w:hAnsi="Arial"/>
          <w:sz w:val="16"/>
          <w:szCs w:val="16"/>
          <w:color w:val="auto"/>
        </w:rPr>
        <w:t xml:space="preserve"> a Washington limited liability company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LGI HOMES – OREGON LLC, an Oregon limited liability company</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21.1</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LGI HOMES – ALABAMA, LLC, an Alabama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MINNESOTA, LLC, a Minnesota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REALTY – MINNESOTA, LLC, a Minnesota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NEVADA, LLC, 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OKLAHOMA, LLC, an Oklahoma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LEASING,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LIVING, LLC, a Texas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CALIFORNIA, LLC, a California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MARYLAND, LLC, a Maryland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PENNSYLVANIA, LLC, a Pennsylvania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VIRGINIA, LLC, a Virginia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WEST VIRGINIA, LLC, a West Virginia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WISCONSIN, LLC, a Wisconsin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REALTY – CALIFORNIA, INC, a California for profit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REALTY – NC, LLC, a North Carolina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REALTY – OKLAHOMA, LLC, an Oklahoma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REALTY – WEST VIRGINIA, LLC, a West Virginia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HOMES – UTAH, LLC, a Utah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LGI REALTY – VIRGINIA, LLC, a Virginia limited liability company</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660" w:right="460" w:hanging="328"/>
        <w:spacing w:after="0" w:line="24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(Form S-8 No. 333-217811) of LGI Homes, Inc. pertaining to the Amended and Restated LGI Homes, Inc. 2013 Equity Incentive Plan,</w:t>
      </w: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Registration Statement (Form S-8 No. 333-211843) of LGI Homes, Inc. pertaining to the LGI Homes, Inc. 2016 Employee Stock Purchase Plan, and</w:t>
      </w:r>
    </w:p>
    <w:p>
      <w:pPr>
        <w:spacing w:after="0" w:line="18" w:lineRule="exact"/>
        <w:rPr>
          <w:rFonts w:ascii="Arial" w:cs="Arial" w:eastAsia="Arial" w:hAnsi="Arial"/>
          <w:sz w:val="16"/>
          <w:szCs w:val="16"/>
          <w:color w:val="auto"/>
        </w:rPr>
      </w:pPr>
    </w:p>
    <w:p>
      <w:pPr>
        <w:ind w:left="660" w:right="40" w:hanging="328"/>
        <w:spacing w:after="0" w:line="23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(No. 333-227012) on Form S-3 of LGI Homes, Inc. and certain subsidiaries pertaining to an indeterminate number or amount of debt securities, preferred stock, common stock, warrants, depositary shares, purchase contracts, units and guarantees of debt securities of LGI Homes, Inc.;</w:t>
      </w:r>
    </w:p>
    <w:p>
      <w:pPr>
        <w:spacing w:after="0" w:line="149"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of our reports dated February 25, 2020, with respect to the consolidated financial statements of LGI Homes, Inc. and the effectiveness of internal control over financial reporting of LGI Homes, Inc. included in this Annual Report (Form 10-K) of LGI Homes, Inc. for the year ended December 31,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202"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CERTIFICATION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 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Lipar,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LGI Homes, Inc. (the “Registrant”);</w:t>
      </w:r>
    </w:p>
    <w:p>
      <w:pPr>
        <w:spacing w:after="0" w:line="225" w:lineRule="exact"/>
        <w:rPr>
          <w:rFonts w:ascii="Arial" w:cs="Arial" w:eastAsia="Arial" w:hAnsi="Arial"/>
          <w:sz w:val="18"/>
          <w:szCs w:val="18"/>
          <w:color w:val="auto"/>
        </w:rPr>
      </w:pPr>
    </w:p>
    <w:p>
      <w:pPr>
        <w:ind w:right="120" w:firstLine="8"/>
        <w:spacing w:after="0" w:line="26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right="10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40" w:firstLine="8"/>
        <w:spacing w:after="0" w:line="26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60" w:right="360" w:hanging="328"/>
        <w:spacing w:after="0" w:line="342"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ind w:left="660" w:right="20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8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60" w:hanging="328"/>
        <w:spacing w:after="0" w:line="277"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387"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56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Eric Lipar</w:t>
      </w:r>
    </w:p>
    <w:p>
      <w:pPr>
        <w:spacing w:after="0" w:line="6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 and Chairman of the Board</w:t>
      </w:r>
    </w:p>
    <w:p>
      <w:pPr>
        <w:spacing w:after="0" w:line="6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LGI Homes, Inc.</w:t>
      </w:r>
    </w:p>
    <w:p>
      <w:pPr>
        <w:sectPr>
          <w:pgSz w:w="11900" w:h="16838" w:orient="portrait"/>
          <w:cols w:equalWidth="0" w:num="1">
            <w:col w:w="11420"/>
          </w:cols>
          <w:pgMar w:left="240" w:top="553"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CFO CERTIFICATION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 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Merdian,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LGI Homes, Inc. (the “Registrant”);</w:t>
      </w:r>
    </w:p>
    <w:p>
      <w:pPr>
        <w:spacing w:after="0" w:line="225" w:lineRule="exact"/>
        <w:rPr>
          <w:rFonts w:ascii="Arial" w:cs="Arial" w:eastAsia="Arial" w:hAnsi="Arial"/>
          <w:sz w:val="18"/>
          <w:szCs w:val="18"/>
          <w:color w:val="auto"/>
        </w:rPr>
      </w:pPr>
    </w:p>
    <w:p>
      <w:pPr>
        <w:ind w:right="120" w:firstLine="8"/>
        <w:spacing w:after="0" w:line="264"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right="10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40" w:firstLine="8"/>
        <w:spacing w:after="0" w:line="264"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60" w:right="360" w:hanging="328"/>
        <w:spacing w:after="0" w:line="342"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3" w:lineRule="exact"/>
        <w:rPr>
          <w:rFonts w:ascii="Arial" w:cs="Arial" w:eastAsia="Arial" w:hAnsi="Arial"/>
          <w:sz w:val="16"/>
          <w:szCs w:val="16"/>
          <w:color w:val="auto"/>
        </w:rPr>
      </w:pPr>
    </w:p>
    <w:p>
      <w:pPr>
        <w:ind w:left="660" w:right="20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8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6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387"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Merdian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01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Charles Merdian</w:t>
      </w:r>
    </w:p>
    <w:p>
      <w:pPr>
        <w:spacing w:after="0" w:line="6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LGI Homes, Inc.</w:t>
      </w:r>
    </w:p>
    <w:p>
      <w:pPr>
        <w:sectPr>
          <w:pgSz w:w="11900" w:h="16838" w:orient="portrait"/>
          <w:cols w:equalWidth="0" w:num="1">
            <w:col w:w="11420"/>
          </w:cols>
          <w:pgMar w:left="240" w:top="553"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LGI Homes, Inc. (the “Company”) on Form 10-K for the fiscal year ended December 31, 2019 as filed with the Securities and Exchange Commission on the date hereof (the “Report”), I, Eric Lipar, Chief Executive Officer of the Company, certify, pursuant to 18 U.S.C. Section 1350, as adopted pursuant to Section 906 of the Sarbanes-Oxley Act of 2002, that to the best of my knowledge:</w:t>
      </w:r>
    </w:p>
    <w:p>
      <w:pPr>
        <w:spacing w:after="0" w:line="18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380" w:val="left"/>
        </w:tabs>
        <w:rPr>
          <w:sz w:val="20"/>
          <w:szCs w:val="20"/>
          <w:color w:val="auto"/>
        </w:rPr>
      </w:pPr>
      <w:r>
        <w:rPr>
          <w:rFonts w:ascii="Arial" w:cs="Arial" w:eastAsia="Arial" w:hAnsi="Arial"/>
          <w:sz w:val="18"/>
          <w:szCs w:val="18"/>
          <w:color w:val="auto"/>
        </w:rPr>
        <w:t>February 25, 2020</w:t>
      </w:r>
      <w:r>
        <w:rPr>
          <w:sz w:val="20"/>
          <w:szCs w:val="20"/>
          <w:color w:val="auto"/>
        </w:rPr>
        <w:tab/>
      </w:r>
      <w:r>
        <w:rPr>
          <w:rFonts w:ascii="Arial" w:cs="Arial" w:eastAsia="Arial" w:hAnsi="Arial"/>
          <w:sz w:val="17"/>
          <w:szCs w:val="17"/>
          <w:color w:val="auto"/>
        </w:rPr>
        <w:t>/s/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31750</wp:posOffset>
            </wp:positionV>
            <wp:extent cx="2478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Eric Lipar</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 and Chairman of the Board</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LGI Homes, Inc.</w:t>
      </w:r>
    </w:p>
    <w:p>
      <w:pPr>
        <w:sectPr>
          <w:pgSz w:w="11900" w:h="16838" w:orient="portrait"/>
          <w:cols w:equalWidth="0" w:num="1">
            <w:col w:w="11420"/>
          </w:cols>
          <w:pgMar w:left="240" w:top="77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In connection with the Annual Report of LGI Homes, Inc. (the “Company”) on Form 10-K for the fiscal year ended December 31, 2019 as filed with the Securities and Exchange Commission on the date hereof (the “Report”), I, Charles Merdian, Chief Financial Officer of the Company, certify, pursuant to 18 U.S.C. Section 1350, as adopted pursuant to Section 906 of the Sarbanes-Oxley Act of 2002, that to the best of my knowledge:</w:t>
      </w:r>
    </w:p>
    <w:p>
      <w:pPr>
        <w:spacing w:after="0" w:line="16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color w:val="auto"/>
        </w:rPr>
        <w:t>/s/ Charles Merdian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31750</wp:posOffset>
            </wp:positionV>
            <wp:extent cx="23412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Charles Merdian</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LGI Homes, Inc.</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lowerRoman"/>
      <w:start w:val="1"/>
    </w:lvl>
  </w:abstractNum>
  <w:abstractNum w:abstractNumId="11">
    <w:nsid w:val="737B8DDC"/>
    <w:multiLevelType w:val="hybridMultilevel"/>
    <w:lvl w:ilvl="0">
      <w:lvlJc w:val="left"/>
      <w:lvlText w:val="(%1)"/>
      <w:numFmt w:val="lowerRoman"/>
      <w:start w:val="2"/>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2"/>
    </w:lvl>
  </w:abstractNum>
  <w:abstractNum w:abstractNumId="18">
    <w:nsid w:val="5577F8E1"/>
    <w:multiLevelType w:val="hybridMultilevel"/>
    <w:lvl w:ilvl="0">
      <w:lvlJc w:val="left"/>
      <w:lvlText w:val="%1."/>
      <w:numFmt w:val="decimal"/>
      <w:start w:val="3"/>
    </w:lvl>
  </w:abstractNum>
  <w:abstractNum w:abstractNumId="19">
    <w:nsid w:val="440BADFC"/>
    <w:multiLevelType w:val="hybridMultilevel"/>
    <w:lvl w:ilvl="0">
      <w:lvlJc w:val="left"/>
      <w:lvlText w:val="%1."/>
      <w:numFmt w:val="decimal"/>
      <w:start w:val="4"/>
    </w:lvl>
  </w:abstractNum>
  <w:abstractNum w:abstractNumId="20">
    <w:nsid w:val="5072367"/>
    <w:multiLevelType w:val="hybridMultilevel"/>
    <w:lvl w:ilvl="0">
      <w:lvlJc w:val="left"/>
      <w:lvlText w:val="%1."/>
      <w:numFmt w:val="decimal"/>
      <w:start w:val="5"/>
    </w:lvl>
  </w:abstractNum>
  <w:abstractNum w:abstractNumId="21">
    <w:nsid w:val="3804823E"/>
    <w:multiLevelType w:val="hybridMultilevel"/>
    <w:lvl w:ilvl="0">
      <w:lvlJc w:val="left"/>
      <w:lvlText w:val="%1."/>
      <w:numFmt w:val="decimal"/>
      <w:start w:val="6"/>
    </w:lvl>
  </w:abstractNum>
  <w:abstractNum w:abstractNumId="22">
    <w:nsid w:val="77465F01"/>
    <w:multiLevelType w:val="hybridMultilevel"/>
    <w:lvl w:ilvl="0">
      <w:lvlJc w:val="left"/>
      <w:lvlText w:val="%1."/>
      <w:numFmt w:val="decimal"/>
      <w:start w:val="8"/>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9"/>
    </w:lvl>
  </w:abstractNum>
  <w:abstractNum w:abstractNumId="25">
    <w:nsid w:val="2463B9EA"/>
    <w:multiLevelType w:val="hybridMultilevel"/>
    <w:lvl w:ilvl="0">
      <w:lvlJc w:val="left"/>
      <w:lvlText w:val="%1"/>
      <w:numFmt w:val="decimal"/>
      <w:start w:val="1"/>
    </w:lvl>
    <w:lvl w:ilvl="1">
      <w:lvlJc w:val="left"/>
      <w:lvlText w:val="(%2)"/>
      <w:numFmt w:val="decimal"/>
      <w:start w:val="1"/>
    </w:lvl>
  </w:abstractNum>
  <w:abstractNum w:abstractNumId="26">
    <w:nsid w:val="5E884ADC"/>
    <w:multiLevelType w:val="hybridMultilevel"/>
    <w:lvl w:ilvl="0">
      <w:lvlJc w:val="left"/>
      <w:lvlText w:val="%1."/>
      <w:numFmt w:val="decimal"/>
      <w:start w:val="12"/>
    </w:lvl>
    <w:lvl w:ilvl="1">
      <w:lvlJc w:val="left"/>
      <w:lvlText w:val="%2"/>
      <w:numFmt w:val="decimal"/>
      <w:start w:val="1"/>
    </w:lvl>
  </w:abstractNum>
  <w:abstractNum w:abstractNumId="27">
    <w:nsid w:val="51EAD36B"/>
    <w:multiLevelType w:val="hybridMultilevel"/>
    <w:lvl w:ilvl="0">
      <w:lvlJc w:val="left"/>
      <w:lvlText w:val="%1."/>
      <w:numFmt w:val="decimal"/>
      <w:start w:val="13"/>
    </w:lvl>
  </w:abstractNum>
  <w:abstractNum w:abstractNumId="28">
    <w:nsid w:val="2D517796"/>
    <w:multiLevelType w:val="hybridMultilevel"/>
    <w:lvl w:ilvl="0">
      <w:lvlJc w:val="left"/>
      <w:lvlText w:val="%1."/>
      <w:numFmt w:val="decimal"/>
      <w:start w:val="14"/>
    </w:lvl>
  </w:abstractNum>
  <w:abstractNum w:abstractNumId="29">
    <w:nsid w:val="580BD78F"/>
    <w:multiLevelType w:val="hybridMultilevel"/>
    <w:lvl w:ilvl="0">
      <w:lvlJc w:val="left"/>
      <w:lvlText w:val="%1."/>
      <w:numFmt w:val="decimal"/>
      <w:start w:val="15"/>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lvl w:ilvl="1">
      <w:lvlJc w:val="left"/>
      <w:lvlText w:val="(%2)"/>
      <w:numFmt w:val="decimal"/>
      <w:start w:val="1"/>
    </w:lvl>
  </w:abstractNum>
  <w:abstractNum w:abstractNumId="32">
    <w:nsid w:val="70A64E2A"/>
    <w:multiLevelType w:val="hybridMultilevel"/>
    <w:lvl w:ilvl="0">
      <w:lvlJc w:val="left"/>
      <w:lvlText w:val="%1."/>
      <w:numFmt w:val="decimal"/>
      <w:start w:val="16"/>
    </w:lvl>
    <w:lvl w:ilvl="1">
      <w:lvlJc w:val="left"/>
      <w:lvlText w:val="%2"/>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3"/>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18" Type="http://schemas.openxmlformats.org/officeDocument/2006/relationships/hyperlink" Target="http://www.sec.gov/Archives/edgar/data/1580670/000119312513348860/d560611dex31.htm" TargetMode="External"/><Relationship Id="rId19" Type="http://schemas.openxmlformats.org/officeDocument/2006/relationships/hyperlink" Target="http://www.sec.gov/Archives/edgar/data/1580670/000119312513348860/d560611dex32.htm" TargetMode="External"/><Relationship Id="rId20" Type="http://schemas.openxmlformats.org/officeDocument/2006/relationships/hyperlink" Target="http://www.sec.gov/Archives/edgar/data/1580670/000158067018000045/ex41baseindenturesrnotesju.htm" TargetMode="External"/><Relationship Id="rId21" Type="http://schemas.openxmlformats.org/officeDocument/2006/relationships/hyperlink" Target="http://www.sec.gov/Archives/edgar/data/1580670/000158067018000045/ex421stsuppindenture6875sr.htm" TargetMode="External"/><Relationship Id="rId22" Type="http://schemas.openxmlformats.org/officeDocument/2006/relationships/hyperlink" Target="http://www.sec.gov/Archives/edgar/data/1580670/000158067018000071/ex101employmentagreement.htm" TargetMode="External"/><Relationship Id="rId23" Type="http://schemas.openxmlformats.org/officeDocument/2006/relationships/hyperlink" Target="http://www.sec.gov/Archives/edgar/data/1580670/000158067017000042/exhibit101amendedandrestat.htm" TargetMode="External"/><Relationship Id="rId24" Type="http://schemas.openxmlformats.org/officeDocument/2006/relationships/hyperlink" Target="http://www.sec.gov/Archives/edgar/data/1580670/000158067016000212/lgihomesesppex101.htm" TargetMode="External"/><Relationship Id="rId25" Type="http://schemas.openxmlformats.org/officeDocument/2006/relationships/hyperlink" Target="http://www.sec.gov/Archives/edgar/data/1580670/000158067019000057/ex101_wfbxlgi-2019x4tharcr.htm" TargetMode="External"/><Relationship Id="rId26" Type="http://schemas.openxmlformats.org/officeDocument/2006/relationships/hyperlink" Target="http://www.sec.gov/Archives/edgar/data/1580670/000158067019000095/ex101lgihomes8kaccord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2020-02-25T17:18:15Z</dcterms:created>
  <dcterms:modified xsi:type="dcterms:W3CDTF">2020-02-25T17:18:15Z</dcterms:modified>
</cp:coreProperties>
</file>